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7E1" w:rsidRPr="00AF57E1" w:rsidRDefault="00AF57E1" w:rsidP="00AF57E1">
      <w:pPr>
        <w:spacing w:after="200" w:line="276" w:lineRule="auto"/>
        <w:rPr>
          <w:rFonts w:ascii="Calibri" w:eastAsia="Calibri" w:hAnsi="Calibri" w:cs="Arial"/>
          <w:b/>
          <w:bCs/>
          <w:color w:val="auto"/>
          <w:sz w:val="32"/>
          <w:szCs w:val="32"/>
          <w:lang w:val="en-US"/>
        </w:rPr>
      </w:pPr>
      <w:r w:rsidRPr="00AF57E1">
        <w:rPr>
          <w:rFonts w:ascii="Calibri" w:eastAsia="Calibri" w:hAnsi="Calibri" w:cs="Arial"/>
          <w:b/>
          <w:bCs/>
          <w:color w:val="auto"/>
          <w:sz w:val="32"/>
          <w:szCs w:val="32"/>
          <w:lang w:val="en-US"/>
        </w:rPr>
        <w:t>Annex 1</w:t>
      </w:r>
    </w:p>
    <w:p w:rsidR="00AF57E1" w:rsidRPr="00AF57E1" w:rsidRDefault="00AF57E1" w:rsidP="00AF57E1">
      <w:pPr>
        <w:tabs>
          <w:tab w:val="left" w:pos="4820"/>
        </w:tabs>
        <w:spacing w:line="240" w:lineRule="atLeast"/>
        <w:jc w:val="both"/>
        <w:rPr>
          <w:rFonts w:ascii="Arial" w:eastAsia="Times New Roman" w:hAnsi="Arial" w:cs="Arial"/>
          <w:b/>
          <w:snapToGrid w:val="0"/>
          <w:color w:val="auto"/>
          <w:sz w:val="20"/>
          <w:szCs w:val="20"/>
          <w:lang w:eastAsia="fr-FR"/>
        </w:rPr>
      </w:pPr>
      <w:r w:rsidRPr="00AF57E1">
        <w:rPr>
          <w:rFonts w:ascii="Arial" w:eastAsia="Times New Roman" w:hAnsi="Arial" w:cs="Arial"/>
          <w:b/>
          <w:snapToGrid w:val="0"/>
          <w:color w:val="auto"/>
          <w:sz w:val="20"/>
          <w:szCs w:val="20"/>
          <w:lang w:eastAsia="fr-FR"/>
        </w:rPr>
        <w:t>Postal statistics: questionnaire and definitions</w:t>
      </w:r>
    </w:p>
    <w:p w:rsidR="00AF57E1" w:rsidRPr="00AF57E1" w:rsidRDefault="00AF57E1" w:rsidP="00AF57E1">
      <w:pPr>
        <w:spacing w:line="240" w:lineRule="atLeast"/>
        <w:jc w:val="both"/>
        <w:rPr>
          <w:rFonts w:ascii="Arial" w:eastAsia="Times New Roman" w:hAnsi="Arial" w:cs="Arial"/>
          <w:bCs/>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bCs/>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b/>
          <w:snapToGrid w:val="0"/>
          <w:color w:val="auto"/>
          <w:sz w:val="20"/>
          <w:szCs w:val="20"/>
          <w:lang w:eastAsia="fr-FR"/>
        </w:rPr>
      </w:pPr>
      <w:r w:rsidRPr="00AF57E1">
        <w:rPr>
          <w:rFonts w:ascii="Arial" w:eastAsia="Times New Roman" w:hAnsi="Arial" w:cs="Arial"/>
          <w:b/>
          <w:snapToGrid w:val="0"/>
          <w:color w:val="auto"/>
          <w:sz w:val="20"/>
          <w:szCs w:val="20"/>
          <w:lang w:eastAsia="fr-FR"/>
        </w:rPr>
        <w:t>1</w:t>
      </w:r>
      <w:r w:rsidRPr="00AF57E1">
        <w:rPr>
          <w:rFonts w:ascii="Arial" w:eastAsia="Times New Roman" w:hAnsi="Arial" w:cs="Arial"/>
          <w:b/>
          <w:snapToGrid w:val="0"/>
          <w:color w:val="auto"/>
          <w:sz w:val="20"/>
          <w:szCs w:val="20"/>
          <w:lang w:eastAsia="fr-FR"/>
        </w:rPr>
        <w:tab/>
        <w:t>Introduction</w:t>
      </w:r>
    </w:p>
    <w:p w:rsidR="00AF57E1" w:rsidRPr="00AF57E1" w:rsidRDefault="00AF57E1" w:rsidP="00AF57E1">
      <w:pPr>
        <w:spacing w:line="240" w:lineRule="atLeast"/>
        <w:jc w:val="both"/>
        <w:rPr>
          <w:rFonts w:ascii="Arial" w:eastAsia="Times New Roman" w:hAnsi="Arial" w:cs="Arial"/>
          <w:bCs/>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The aim of this questionnaire is to gather representative data on postal activities and development as well as data that can later be used to develop postal sector measurement indicators.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b/>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The statistical data gathered by means of this questionnaire forms the basis of global and regional analyses carried out by the UPU International Bureau in the postal development field. It also provides information on each Post, i.e. designated postal operators (previously known as public postal operators) for publication in the </w:t>
      </w:r>
      <w:r w:rsidRPr="00AF57E1">
        <w:rPr>
          <w:rFonts w:ascii="Arial" w:eastAsia="Times New Roman" w:hAnsi="Arial" w:cs="Arial"/>
          <w:i/>
          <w:snapToGrid w:val="0"/>
          <w:color w:val="auto"/>
          <w:sz w:val="20"/>
          <w:szCs w:val="20"/>
          <w:lang w:eastAsia="fr-FR"/>
        </w:rPr>
        <w:t>Postal Statistics</w:t>
      </w:r>
      <w:r w:rsidRPr="00AF57E1">
        <w:rPr>
          <w:rFonts w:ascii="Arial" w:eastAsia="Times New Roman" w:hAnsi="Arial" w:cs="Arial"/>
          <w:snapToGrid w:val="0"/>
          <w:color w:val="auto"/>
          <w:sz w:val="20"/>
          <w:szCs w:val="20"/>
          <w:lang w:eastAsia="fr-FR"/>
        </w:rPr>
        <w:t xml:space="preserve"> yearbook and the online UPU Postal Statistics database, at www.upu.int/en/resources.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The UPU's postal statistics therefore constitute:</w:t>
      </w:r>
    </w:p>
    <w:p w:rsidR="00AF57E1" w:rsidRPr="00AF57E1" w:rsidRDefault="00AF57E1" w:rsidP="00AF57E1">
      <w:pPr>
        <w:spacing w:before="120"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a</w:t>
      </w:r>
      <w:proofErr w:type="gramEnd"/>
      <w:r w:rsidRPr="00AF57E1">
        <w:rPr>
          <w:rFonts w:ascii="Arial" w:eastAsia="Times New Roman" w:hAnsi="Arial" w:cs="Arial"/>
          <w:snapToGrid w:val="0"/>
          <w:color w:val="auto"/>
          <w:sz w:val="20"/>
          <w:szCs w:val="20"/>
          <w:lang w:eastAsia="fr-FR"/>
        </w:rPr>
        <w:t xml:space="preserve"> simple benchmarking tool;</w:t>
      </w:r>
    </w:p>
    <w:p w:rsidR="00AF57E1" w:rsidRPr="00AF57E1" w:rsidRDefault="00AF57E1" w:rsidP="00AF57E1">
      <w:pPr>
        <w:spacing w:before="120"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a</w:t>
      </w:r>
      <w:proofErr w:type="gramEnd"/>
      <w:r w:rsidRPr="00AF57E1">
        <w:rPr>
          <w:rFonts w:ascii="Arial" w:eastAsia="Times New Roman" w:hAnsi="Arial" w:cs="Arial"/>
          <w:snapToGrid w:val="0"/>
          <w:color w:val="auto"/>
          <w:sz w:val="20"/>
          <w:szCs w:val="20"/>
          <w:lang w:eastAsia="fr-FR"/>
        </w:rPr>
        <w:t xml:space="preserve"> helpful database for bilateral relations; and</w:t>
      </w:r>
    </w:p>
    <w:p w:rsidR="00AF57E1" w:rsidRPr="00AF57E1" w:rsidRDefault="00AF57E1" w:rsidP="00AF57E1">
      <w:pPr>
        <w:spacing w:before="120"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a</w:t>
      </w:r>
      <w:proofErr w:type="gramEnd"/>
      <w:r w:rsidRPr="00AF57E1">
        <w:rPr>
          <w:rFonts w:ascii="Arial" w:eastAsia="Times New Roman" w:hAnsi="Arial" w:cs="Arial"/>
          <w:snapToGrid w:val="0"/>
          <w:color w:val="auto"/>
          <w:sz w:val="20"/>
          <w:szCs w:val="20"/>
          <w:lang w:eastAsia="fr-FR"/>
        </w:rPr>
        <w:t xml:space="preserve"> strategic decision-making tool for reacting to international market developments.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The </w:t>
      </w:r>
      <w:r w:rsidRPr="00AF57E1">
        <w:rPr>
          <w:rFonts w:ascii="Arial" w:eastAsia="Times New Roman" w:hAnsi="Arial" w:cs="Arial"/>
          <w:i/>
          <w:iCs/>
          <w:snapToGrid w:val="0"/>
          <w:color w:val="auto"/>
          <w:sz w:val="20"/>
          <w:szCs w:val="20"/>
          <w:lang w:eastAsia="fr-FR"/>
        </w:rPr>
        <w:t>Postal Statistics</w:t>
      </w:r>
      <w:r w:rsidRPr="00AF57E1">
        <w:rPr>
          <w:rFonts w:ascii="Arial" w:eastAsia="Times New Roman" w:hAnsi="Arial" w:cs="Arial"/>
          <w:snapToGrid w:val="0"/>
          <w:color w:val="auto"/>
          <w:sz w:val="20"/>
          <w:szCs w:val="20"/>
          <w:lang w:eastAsia="fr-FR"/>
        </w:rPr>
        <w:t xml:space="preserve"> yearbook is complemented by two other publications: </w:t>
      </w:r>
      <w:r w:rsidRPr="00AF57E1">
        <w:rPr>
          <w:rFonts w:ascii="Arial" w:eastAsia="Times New Roman" w:hAnsi="Arial" w:cs="Arial"/>
          <w:i/>
          <w:iCs/>
          <w:snapToGrid w:val="0"/>
          <w:color w:val="auto"/>
          <w:sz w:val="20"/>
          <w:szCs w:val="20"/>
          <w:lang w:eastAsia="fr-FR"/>
        </w:rPr>
        <w:t>Status and structure of postal entities in UPU member countries</w:t>
      </w:r>
      <w:r w:rsidRPr="00AF57E1">
        <w:rPr>
          <w:rFonts w:ascii="Arial" w:eastAsia="Times New Roman" w:hAnsi="Arial" w:cs="Arial"/>
          <w:snapToGrid w:val="0"/>
          <w:color w:val="auto"/>
          <w:sz w:val="20"/>
          <w:szCs w:val="20"/>
          <w:lang w:eastAsia="fr-FR"/>
        </w:rPr>
        <w:t xml:space="preserve"> and </w:t>
      </w:r>
      <w:proofErr w:type="gramStart"/>
      <w:r w:rsidRPr="00AF57E1">
        <w:rPr>
          <w:rFonts w:ascii="Arial" w:eastAsia="Times New Roman" w:hAnsi="Arial" w:cs="Arial"/>
          <w:i/>
          <w:iCs/>
          <w:snapToGrid w:val="0"/>
          <w:color w:val="auto"/>
          <w:sz w:val="20"/>
          <w:szCs w:val="20"/>
          <w:lang w:eastAsia="fr-FR"/>
        </w:rPr>
        <w:t>Measuring</w:t>
      </w:r>
      <w:proofErr w:type="gramEnd"/>
      <w:r w:rsidRPr="00AF57E1">
        <w:rPr>
          <w:rFonts w:ascii="Arial" w:eastAsia="Times New Roman" w:hAnsi="Arial" w:cs="Arial"/>
          <w:i/>
          <w:iCs/>
          <w:snapToGrid w:val="0"/>
          <w:color w:val="auto"/>
          <w:sz w:val="20"/>
          <w:szCs w:val="20"/>
          <w:lang w:eastAsia="fr-FR"/>
        </w:rPr>
        <w:t xml:space="preserve"> postal e-service development</w:t>
      </w:r>
      <w:r w:rsidRPr="00AF57E1">
        <w:rPr>
          <w:rFonts w:ascii="Arial" w:eastAsia="Times New Roman" w:hAnsi="Arial" w:cs="Arial"/>
          <w:snapToGrid w:val="0"/>
          <w:color w:val="auto"/>
          <w:sz w:val="20"/>
          <w:szCs w:val="20"/>
          <w:lang w:eastAsia="fr-FR"/>
        </w:rPr>
        <w:t>.</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In order to be a tool for postal development, statistical data must be reliable. It is vital that each designated operator should make the necessary efforts to provide full, reliable data. The existence of high quality statistics is essential if the UPU and postal businesses are to be in a position to develop appropriate policies and manage their development. Unreliable or incomplete data can lead to misinformed decisions, which in turn lead to wasted resources.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b/>
          <w:snapToGrid w:val="0"/>
          <w:color w:val="auto"/>
          <w:sz w:val="20"/>
          <w:szCs w:val="20"/>
          <w:lang w:eastAsia="fr-FR"/>
        </w:rPr>
      </w:pPr>
      <w:r w:rsidRPr="00AF57E1">
        <w:rPr>
          <w:rFonts w:ascii="Arial" w:eastAsia="Times New Roman" w:hAnsi="Arial" w:cs="Arial"/>
          <w:b/>
          <w:snapToGrid w:val="0"/>
          <w:color w:val="auto"/>
          <w:sz w:val="20"/>
          <w:szCs w:val="20"/>
          <w:lang w:eastAsia="fr-FR"/>
        </w:rPr>
        <w:t>2</w:t>
      </w:r>
      <w:r w:rsidRPr="00AF57E1">
        <w:rPr>
          <w:rFonts w:ascii="Arial" w:eastAsia="Times New Roman" w:hAnsi="Arial" w:cs="Arial"/>
          <w:b/>
          <w:snapToGrid w:val="0"/>
          <w:color w:val="auto"/>
          <w:sz w:val="20"/>
          <w:szCs w:val="20"/>
          <w:lang w:eastAsia="fr-FR"/>
        </w:rPr>
        <w:tab/>
        <w:t>General instructions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To help maintain the quality of the Postal Statistics database, you are asked to:</w:t>
      </w:r>
    </w:p>
    <w:p w:rsidR="00AF57E1" w:rsidRPr="00AF57E1" w:rsidRDefault="00AF57E1" w:rsidP="00AF57E1">
      <w:pPr>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t>complete all the headings of the questionnaire as carefully as possible;</w:t>
      </w:r>
    </w:p>
    <w:p w:rsidR="00AF57E1" w:rsidRPr="00AF57E1" w:rsidRDefault="00AF57E1" w:rsidP="00AF57E1">
      <w:pPr>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t>supply all the data you can, in order to minimize the amount of missing data;</w:t>
      </w:r>
    </w:p>
    <w:p w:rsidR="00AF57E1" w:rsidRPr="00AF57E1" w:rsidRDefault="00AF57E1" w:rsidP="00AF57E1">
      <w:pPr>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when</w:t>
      </w:r>
      <w:proofErr w:type="gramEnd"/>
      <w:r w:rsidRPr="00AF57E1">
        <w:rPr>
          <w:rFonts w:ascii="Arial" w:eastAsia="Times New Roman" w:hAnsi="Arial" w:cs="Arial"/>
          <w:snapToGrid w:val="0"/>
          <w:color w:val="auto"/>
          <w:sz w:val="20"/>
          <w:szCs w:val="20"/>
          <w:lang w:eastAsia="fr-FR"/>
        </w:rPr>
        <w:t xml:space="preserve"> a piece of data is not supplied, provide a reason using the codes NA (service does not exist), ND (service exists but data not available), NG (negligible amount) or 0 (quantity nil);</w:t>
      </w:r>
    </w:p>
    <w:p w:rsidR="00AF57E1" w:rsidRPr="00AF57E1" w:rsidRDefault="00AF57E1" w:rsidP="00AF57E1">
      <w:pPr>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lastRenderedPageBreak/>
        <w:t>–</w:t>
      </w:r>
      <w:r w:rsidRPr="00AF57E1">
        <w:rPr>
          <w:rFonts w:ascii="Arial" w:eastAsia="Times New Roman" w:hAnsi="Arial" w:cs="Arial"/>
          <w:snapToGrid w:val="0"/>
          <w:color w:val="auto"/>
          <w:sz w:val="20"/>
          <w:szCs w:val="20"/>
          <w:lang w:eastAsia="fr-FR"/>
        </w:rPr>
        <w:tab/>
        <w:t>return the questionnaire by the deadline, so that the International Bureau can publish the annual statistics by the end of the current year.</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It would also be helpful if each designated operator would take steps to collect the data requested in the questionnaire. This will help to raise the standing of the postal statistics and strengthen their role as a decision-making tool.</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b/>
          <w:snapToGrid w:val="0"/>
          <w:color w:val="auto"/>
          <w:sz w:val="20"/>
          <w:szCs w:val="20"/>
          <w:lang w:eastAsia="fr-FR"/>
        </w:rPr>
      </w:pPr>
      <w:r w:rsidRPr="00AF57E1">
        <w:rPr>
          <w:rFonts w:ascii="Arial" w:eastAsia="Times New Roman" w:hAnsi="Arial" w:cs="Arial"/>
          <w:b/>
          <w:snapToGrid w:val="0"/>
          <w:color w:val="auto"/>
          <w:sz w:val="20"/>
          <w:szCs w:val="20"/>
          <w:lang w:eastAsia="fr-FR"/>
        </w:rPr>
        <w:t>3</w:t>
      </w:r>
      <w:r w:rsidRPr="00AF57E1">
        <w:rPr>
          <w:rFonts w:ascii="Arial" w:eastAsia="Times New Roman" w:hAnsi="Arial" w:cs="Arial"/>
          <w:b/>
          <w:snapToGrid w:val="0"/>
          <w:color w:val="auto"/>
          <w:sz w:val="20"/>
          <w:szCs w:val="20"/>
          <w:lang w:eastAsia="fr-FR"/>
        </w:rPr>
        <w:tab/>
        <w:t>Definitions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To ensure the consistency of the data and make the questionnaire easier to understand, definitions, and methods of calculation in some cases, are provided where necessary. Please read the definitions carefully before answering each question.</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tbl>
      <w:tblPr>
        <w:tblW w:w="0" w:type="auto"/>
        <w:shd w:val="clear" w:color="auto" w:fill="E0E0E0"/>
        <w:tblLook w:val="01E0" w:firstRow="1" w:lastRow="1" w:firstColumn="1" w:lastColumn="1" w:noHBand="0" w:noVBand="0"/>
      </w:tblPr>
      <w:tblGrid>
        <w:gridCol w:w="9759"/>
      </w:tblGrid>
      <w:tr w:rsidR="00AF57E1" w:rsidRPr="00AF57E1" w:rsidTr="00495B77">
        <w:tc>
          <w:tcPr>
            <w:tcW w:w="9759" w:type="dxa"/>
            <w:shd w:val="clear" w:color="auto" w:fill="E0E0E0"/>
          </w:tcPr>
          <w:p w:rsidR="00AF57E1" w:rsidRPr="00AF57E1" w:rsidRDefault="00AF57E1" w:rsidP="00AF57E1">
            <w:pPr>
              <w:pageBreakBefore/>
              <w:spacing w:before="60" w:after="60" w:line="240" w:lineRule="atLeast"/>
              <w:jc w:val="both"/>
              <w:rPr>
                <w:rFonts w:ascii="Arial" w:eastAsia="Times New Roman" w:hAnsi="Arial" w:cs="Arial"/>
                <w:b/>
                <w:bCs/>
                <w:snapToGrid w:val="0"/>
                <w:color w:val="auto"/>
                <w:sz w:val="20"/>
                <w:szCs w:val="20"/>
                <w:lang w:eastAsia="fr-FR"/>
              </w:rPr>
            </w:pPr>
            <w:r w:rsidRPr="00AF57E1">
              <w:rPr>
                <w:rFonts w:ascii="Arial" w:eastAsia="Times New Roman" w:hAnsi="Arial" w:cs="Arial"/>
                <w:b/>
                <w:bCs/>
                <w:snapToGrid w:val="0"/>
                <w:color w:val="auto"/>
                <w:sz w:val="20"/>
                <w:szCs w:val="20"/>
                <w:lang w:eastAsia="fr-FR"/>
              </w:rPr>
              <w:lastRenderedPageBreak/>
              <w:br w:type="page"/>
              <w:t>Staff</w:t>
            </w:r>
          </w:p>
        </w:tc>
      </w:tr>
    </w:tbl>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The number of staff includes established or unestablished staff under contract to the designated operator, not including persons employed by contractors, or temporary staff taken on during holiday periods or for occasional events. However, retired employees as well as workers in subsidiaries abroad (if applicable) should be excluded.</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Full-time staff</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Full-time staff means all employees performing their functions during normal working hours. Normal working hours means the number of working hours per week set by the designated operator for full-time employment.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Part-time staff</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covers all employees working for less than the normal number of working hours each week.</w:t>
      </w:r>
    </w:p>
    <w:p w:rsidR="00AF57E1" w:rsidRPr="00AF57E1" w:rsidRDefault="00AF57E1" w:rsidP="00AF57E1">
      <w:pPr>
        <w:spacing w:line="240" w:lineRule="atLeast"/>
        <w:jc w:val="both"/>
        <w:rPr>
          <w:rFonts w:ascii="Arial" w:eastAsia="Times New Roman" w:hAnsi="Arial" w:cs="Arial"/>
          <w:snapToGrid w:val="0"/>
          <w:color w:val="auto"/>
          <w:sz w:val="20"/>
          <w:szCs w:val="20"/>
          <w:u w:val="single"/>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Percentage of female staff</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This means the percentage of female staff compared to the total number of staff. The total number of staff corresponds to the sum of the number of full-time staff and the number of part-time staff. Management staff refers to staff carrying out functions that entail leading, planning, controlling or specialist functions. </w:t>
      </w:r>
    </w:p>
    <w:p w:rsidR="00AF57E1" w:rsidRPr="00AF57E1" w:rsidRDefault="00AF57E1" w:rsidP="00AF57E1">
      <w:pPr>
        <w:spacing w:line="240" w:lineRule="atLeast"/>
        <w:jc w:val="both"/>
        <w:rPr>
          <w:rFonts w:ascii="Arial" w:eastAsia="Times New Roman" w:hAnsi="Arial" w:cs="Arial"/>
          <w:snapToGrid w:val="0"/>
          <w:color w:val="auto"/>
          <w:sz w:val="20"/>
          <w:szCs w:val="20"/>
          <w:u w:val="single"/>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Percentage of delivery staff</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means the percentage of delivery staff (postmen/letter carriers) compared to the total number of staff. The total number of staff corresponds to the sum of the number of full-time staff and the number of part-time staff.</w:t>
      </w:r>
    </w:p>
    <w:p w:rsidR="00AF57E1" w:rsidRPr="00AF57E1" w:rsidRDefault="00AF57E1" w:rsidP="00AF57E1">
      <w:pPr>
        <w:spacing w:line="240" w:lineRule="atLeast"/>
        <w:jc w:val="both"/>
        <w:rPr>
          <w:rFonts w:ascii="Arial" w:eastAsia="Times New Roman" w:hAnsi="Arial" w:cs="Arial"/>
          <w:bCs/>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Number of posts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does not refer to the number of posts provided for in the budget, but rather the total workforce, expressed in terms of full-time posts, at 31 December. So, to calculate the number of posts, count the num</w:t>
      </w:r>
      <w:r w:rsidRPr="00AF57E1">
        <w:rPr>
          <w:rFonts w:ascii="Arial" w:eastAsia="Times New Roman" w:hAnsi="Arial" w:cs="Arial"/>
          <w:snapToGrid w:val="0"/>
          <w:color w:val="auto"/>
          <w:sz w:val="20"/>
          <w:szCs w:val="20"/>
          <w:lang w:eastAsia="fr-FR"/>
        </w:rPr>
        <w:softHyphen/>
        <w:t>ber of full-time staff plus the number of part-time staff, converted to full-time posts. For example, two persons working at 50% count as one full-time post.</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tbl>
      <w:tblPr>
        <w:tblW w:w="0" w:type="auto"/>
        <w:shd w:val="clear" w:color="auto" w:fill="E0E0E0"/>
        <w:tblLook w:val="01E0" w:firstRow="1" w:lastRow="1" w:firstColumn="1" w:lastColumn="1" w:noHBand="0" w:noVBand="0"/>
      </w:tblPr>
      <w:tblGrid>
        <w:gridCol w:w="9759"/>
      </w:tblGrid>
      <w:tr w:rsidR="00AF57E1" w:rsidRPr="00AF57E1" w:rsidTr="00495B77">
        <w:tc>
          <w:tcPr>
            <w:tcW w:w="9759" w:type="dxa"/>
            <w:shd w:val="clear" w:color="auto" w:fill="E0E0E0"/>
          </w:tcPr>
          <w:p w:rsidR="00AF57E1" w:rsidRPr="00AF57E1" w:rsidRDefault="00AF57E1" w:rsidP="00AF57E1">
            <w:pPr>
              <w:spacing w:before="60" w:after="60" w:line="240" w:lineRule="atLeast"/>
              <w:jc w:val="both"/>
              <w:rPr>
                <w:rFonts w:ascii="Arial" w:eastAsia="Times New Roman" w:hAnsi="Arial" w:cs="Arial"/>
                <w:b/>
                <w:bCs/>
                <w:snapToGrid w:val="0"/>
                <w:color w:val="auto"/>
                <w:sz w:val="20"/>
                <w:szCs w:val="20"/>
                <w:lang w:eastAsia="fr-FR"/>
              </w:rPr>
            </w:pPr>
            <w:r w:rsidRPr="00AF57E1">
              <w:rPr>
                <w:rFonts w:ascii="Arial" w:eastAsia="Times New Roman" w:hAnsi="Arial" w:cs="Arial"/>
                <w:b/>
                <w:bCs/>
                <w:snapToGrid w:val="0"/>
                <w:color w:val="auto"/>
                <w:sz w:val="20"/>
                <w:szCs w:val="20"/>
                <w:lang w:eastAsia="fr-FR"/>
              </w:rPr>
              <w:t>Postal infrastructure</w:t>
            </w:r>
          </w:p>
        </w:tc>
      </w:tr>
    </w:tbl>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bCs/>
          <w:i/>
          <w:iCs/>
          <w:snapToGrid w:val="0"/>
          <w:color w:val="auto"/>
          <w:sz w:val="20"/>
          <w:szCs w:val="20"/>
          <w:lang w:eastAsia="fr-FR"/>
        </w:rPr>
        <w:t xml:space="preserve">Postal establishments </w:t>
      </w:r>
      <w:r w:rsidRPr="00AF57E1">
        <w:rPr>
          <w:rFonts w:ascii="Arial" w:eastAsia="Times New Roman" w:hAnsi="Arial" w:cs="Arial"/>
          <w:bCs/>
          <w:i/>
          <w:iCs/>
          <w:snapToGrid w:val="0"/>
          <w:sz w:val="20"/>
          <w:szCs w:val="20"/>
          <w:lang w:eastAsia="fr-FR"/>
        </w:rPr>
        <w:t xml:space="preserve">open to the public </w:t>
      </w:r>
      <w:r w:rsidRPr="00AF57E1">
        <w:rPr>
          <w:rFonts w:ascii="Arial" w:eastAsia="Times New Roman" w:hAnsi="Arial" w:cs="Arial"/>
          <w:bCs/>
          <w:snapToGrid w:val="0"/>
          <w:sz w:val="20"/>
          <w:szCs w:val="20"/>
          <w:lang w:eastAsia="fr-FR"/>
        </w:rPr>
        <w:t>a</w:t>
      </w:r>
      <w:r w:rsidRPr="00AF57E1">
        <w:rPr>
          <w:rFonts w:ascii="Arial" w:eastAsia="Times New Roman" w:hAnsi="Arial" w:cs="Arial"/>
          <w:snapToGrid w:val="0"/>
          <w:color w:val="auto"/>
          <w:sz w:val="20"/>
          <w:szCs w:val="20"/>
          <w:lang w:eastAsia="fr-FR"/>
        </w:rPr>
        <w:t>re post offices to which customers may apply for postal services. Sections of exchange offices or sorting offices offering similar services are also included in this category. These offices may be run by the designated operator or by third parties, and may be permanent or mobile.</w:t>
      </w:r>
    </w:p>
    <w:p w:rsidR="00AF57E1" w:rsidRPr="00AF57E1" w:rsidRDefault="00AF57E1" w:rsidP="00AF57E1">
      <w:pPr>
        <w:spacing w:before="120"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Full-service permanent post offices are post offices to which, in principle, customers may apply for all postal services. This category also includes sections of exchange offices or sorting offices offering similar services. </w:t>
      </w:r>
    </w:p>
    <w:p w:rsidR="00AF57E1" w:rsidRPr="00AF57E1" w:rsidRDefault="00AF57E1" w:rsidP="00AF57E1">
      <w:pPr>
        <w:spacing w:before="120"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Secondary permanent post offices are permanent post offices that generally have reduced services and/or limited opening times for the public. This category also includes:</w:t>
      </w:r>
    </w:p>
    <w:p w:rsidR="00AF57E1" w:rsidRPr="00AF57E1" w:rsidRDefault="00AF57E1" w:rsidP="00AF57E1">
      <w:pPr>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lastRenderedPageBreak/>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sections</w:t>
      </w:r>
      <w:proofErr w:type="gramEnd"/>
      <w:r w:rsidRPr="00AF57E1">
        <w:rPr>
          <w:rFonts w:ascii="Arial" w:eastAsia="Times New Roman" w:hAnsi="Arial" w:cs="Arial"/>
          <w:snapToGrid w:val="0"/>
          <w:color w:val="auto"/>
          <w:sz w:val="20"/>
          <w:szCs w:val="20"/>
          <w:lang w:eastAsia="fr-FR"/>
        </w:rPr>
        <w:t xml:space="preserve"> of exchange offices or sorting offices offering similar services;</w:t>
      </w:r>
    </w:p>
    <w:p w:rsidR="00AF57E1" w:rsidRPr="00AF57E1" w:rsidRDefault="00AF57E1" w:rsidP="00AF57E1">
      <w:pPr>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t>establishments other than the designated operator providing postal services on the basis of a contract with the designated operator (such as shops offering postal services).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 xml:space="preserve">Permanent post offices staffed by officials of the </w:t>
      </w:r>
      <w:r w:rsidRPr="00AF57E1">
        <w:rPr>
          <w:rFonts w:ascii="Arial" w:eastAsia="Times New Roman" w:hAnsi="Arial" w:cs="Arial"/>
          <w:snapToGrid w:val="0"/>
          <w:color w:val="auto"/>
          <w:sz w:val="20"/>
          <w:szCs w:val="20"/>
          <w:lang w:eastAsia="fr-FR"/>
        </w:rPr>
        <w:t>designated operator</w:t>
      </w:r>
      <w:r w:rsidRPr="00AF57E1">
        <w:rPr>
          <w:rFonts w:ascii="Arial" w:eastAsia="Times New Roman" w:hAnsi="Arial" w:cs="Arial"/>
          <w:i/>
          <w:iCs/>
          <w:snapToGrid w:val="0"/>
          <w:color w:val="auto"/>
          <w:sz w:val="20"/>
          <w:szCs w:val="20"/>
          <w:lang w:eastAsia="fr-FR"/>
        </w:rPr>
        <w:t xml:space="preserve">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question refers to full-service and secondary post offices run by officials of the Post. Definitions of full-service permanent post offices and secondary post offices are given above.</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 xml:space="preserve">Permanent post offices managed by people from outside the </w:t>
      </w:r>
      <w:r w:rsidRPr="00AF57E1">
        <w:rPr>
          <w:rFonts w:ascii="Arial" w:eastAsia="Times New Roman" w:hAnsi="Arial" w:cs="Arial"/>
          <w:snapToGrid w:val="0"/>
          <w:color w:val="auto"/>
          <w:sz w:val="20"/>
          <w:szCs w:val="20"/>
          <w:lang w:eastAsia="fr-FR"/>
        </w:rPr>
        <w:t>designated operator</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question refers to permanent and secondary post offices managed by people from outside the designated operator. Definitions of full-service permanent post offices and secondary post offices are given above.</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Post offices in rural areas (including mobile post offices)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These are post offices located in rural zones. As no universal definition exists, country-specific divisions of rural/urban zones should be used.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Mobile post offices are offices installed in a train, a road transport vehicle or a boat which serve regions without permanent post offices. They deliver mail and offer post office counter services. This category also includes </w:t>
      </w:r>
      <w:r w:rsidRPr="00AF57E1">
        <w:rPr>
          <w:rFonts w:ascii="Arial" w:eastAsia="Times New Roman" w:hAnsi="Arial" w:cs="Arial"/>
          <w:i/>
          <w:snapToGrid w:val="0"/>
          <w:color w:val="auto"/>
          <w:sz w:val="20"/>
          <w:szCs w:val="20"/>
          <w:lang w:eastAsia="fr-FR"/>
        </w:rPr>
        <w:t>rural delivery staff providing post office counter services on their rounds</w:t>
      </w:r>
      <w:r w:rsidRPr="00AF57E1">
        <w:rPr>
          <w:rFonts w:ascii="Arial" w:eastAsia="Times New Roman" w:hAnsi="Arial" w:cs="Arial"/>
          <w:snapToGrid w:val="0"/>
          <w:color w:val="auto"/>
          <w:sz w:val="20"/>
          <w:szCs w:val="20"/>
          <w:lang w:eastAsia="fr-FR"/>
        </w:rPr>
        <w:t>. Users can deposit parcels, letters or express items with them or make payments to them.</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Post offices accepting financial transactions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Post offices accepting financial transactions include permanent offices and mobile offices (including rural delivery personnel) providing financial services (money orders, COD, payments, etc.).</w:t>
      </w: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bCs/>
          <w:snapToGrid w:val="0"/>
          <w:color w:val="auto"/>
          <w:sz w:val="20"/>
          <w:szCs w:val="20"/>
          <w:lang w:eastAsia="fr-FR"/>
        </w:rPr>
      </w:pPr>
      <w:r w:rsidRPr="00AF57E1">
        <w:rPr>
          <w:rFonts w:ascii="Arial" w:eastAsia="Times New Roman" w:hAnsi="Arial" w:cs="Arial"/>
          <w:bCs/>
          <w:i/>
          <w:iCs/>
          <w:snapToGrid w:val="0"/>
          <w:color w:val="auto"/>
          <w:sz w:val="20"/>
          <w:szCs w:val="20"/>
          <w:lang w:eastAsia="fr-FR"/>
        </w:rPr>
        <w:t xml:space="preserve">Postal establishments not open to the public </w:t>
      </w:r>
      <w:r w:rsidRPr="00AF57E1">
        <w:rPr>
          <w:rFonts w:ascii="Arial" w:eastAsia="Times New Roman" w:hAnsi="Arial" w:cs="Arial"/>
          <w:bCs/>
          <w:snapToGrid w:val="0"/>
          <w:color w:val="auto"/>
          <w:sz w:val="20"/>
          <w:szCs w:val="20"/>
          <w:lang w:eastAsia="fr-FR"/>
        </w:rPr>
        <w:t>are those which carry out postal operations not involving cus</w:t>
      </w:r>
      <w:r w:rsidRPr="00AF57E1">
        <w:rPr>
          <w:rFonts w:ascii="Arial" w:eastAsia="Times New Roman" w:hAnsi="Arial" w:cs="Arial"/>
          <w:bCs/>
          <w:snapToGrid w:val="0"/>
          <w:color w:val="auto"/>
          <w:sz w:val="20"/>
          <w:szCs w:val="20"/>
          <w:lang w:eastAsia="fr-FR"/>
        </w:rPr>
        <w:softHyphen/>
        <w:t>tomer contact. As such, they are not open to the public.</w:t>
      </w:r>
    </w:p>
    <w:p w:rsidR="00AF57E1" w:rsidRPr="00AF57E1" w:rsidRDefault="00AF57E1" w:rsidP="00AF57E1">
      <w:pPr>
        <w:spacing w:line="240" w:lineRule="atLeast"/>
        <w:jc w:val="both"/>
        <w:rPr>
          <w:rFonts w:ascii="Arial" w:eastAsia="Times New Roman" w:hAnsi="Arial" w:cs="Arial"/>
          <w:bCs/>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Sorting centres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Sorting centres are establishments whose main activity is sorting. Sorting sections of post offices open to the public and delivery offices are not included in this category.</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tbl>
      <w:tblPr>
        <w:tblW w:w="0" w:type="auto"/>
        <w:shd w:val="clear" w:color="auto" w:fill="E0E0E0"/>
        <w:tblLook w:val="01E0" w:firstRow="1" w:lastRow="1" w:firstColumn="1" w:lastColumn="1" w:noHBand="0" w:noVBand="0"/>
      </w:tblPr>
      <w:tblGrid>
        <w:gridCol w:w="9759"/>
      </w:tblGrid>
      <w:tr w:rsidR="00AF57E1" w:rsidRPr="00AF57E1" w:rsidTr="00495B77">
        <w:tc>
          <w:tcPr>
            <w:tcW w:w="9759" w:type="dxa"/>
            <w:shd w:val="clear" w:color="auto" w:fill="E0E0E0"/>
          </w:tcPr>
          <w:p w:rsidR="00AF57E1" w:rsidRPr="00AF57E1" w:rsidRDefault="00AF57E1" w:rsidP="00AF57E1">
            <w:pPr>
              <w:spacing w:before="60" w:after="60" w:line="240" w:lineRule="atLeast"/>
              <w:jc w:val="both"/>
              <w:rPr>
                <w:rFonts w:ascii="Arial" w:eastAsia="Times New Roman" w:hAnsi="Arial" w:cs="Arial"/>
                <w:b/>
                <w:bCs/>
                <w:snapToGrid w:val="0"/>
                <w:color w:val="auto"/>
                <w:sz w:val="20"/>
                <w:szCs w:val="20"/>
                <w:lang w:eastAsia="fr-FR"/>
              </w:rPr>
            </w:pPr>
            <w:r w:rsidRPr="00AF57E1">
              <w:rPr>
                <w:rFonts w:ascii="Arial" w:eastAsia="Times New Roman" w:hAnsi="Arial" w:cs="Arial"/>
                <w:b/>
                <w:bCs/>
                <w:snapToGrid w:val="0"/>
                <w:color w:val="auto"/>
                <w:sz w:val="20"/>
                <w:szCs w:val="20"/>
                <w:lang w:eastAsia="fr-FR"/>
              </w:rPr>
              <w:t>Collection</w:t>
            </w:r>
          </w:p>
        </w:tc>
      </w:tr>
    </w:tbl>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section of the questionnaire asks for information on the average number of collections by the desig</w:t>
      </w:r>
      <w:r w:rsidRPr="00AF57E1">
        <w:rPr>
          <w:rFonts w:ascii="Arial" w:eastAsia="Times New Roman" w:hAnsi="Arial" w:cs="Arial"/>
          <w:snapToGrid w:val="0"/>
          <w:color w:val="auto"/>
          <w:sz w:val="20"/>
          <w:szCs w:val="20"/>
          <w:lang w:eastAsia="fr-FR"/>
        </w:rPr>
        <w:softHyphen/>
        <w:t xml:space="preserve">nated operator of correspondence posted by customers in street letter boxes.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Collections from boxes not attached to post offices per working day in urban areas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lastRenderedPageBreak/>
        <w:t>This is the average number of collections (1, 2 or 3) per day from letter boxes not attached to post offices.</w:t>
      </w:r>
    </w:p>
    <w:p w:rsidR="00AF57E1" w:rsidRPr="00AF57E1" w:rsidRDefault="00AF57E1" w:rsidP="00AF57E1">
      <w:pPr>
        <w:spacing w:line="240" w:lineRule="atLeast"/>
        <w:jc w:val="both"/>
        <w:rPr>
          <w:rFonts w:ascii="Arial" w:eastAsia="Times New Roman" w:hAnsi="Arial" w:cs="Arial"/>
          <w:snapToGrid w:val="0"/>
          <w:color w:val="auto"/>
          <w:sz w:val="20"/>
          <w:szCs w:val="20"/>
          <w:u w:val="single"/>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Collections from boxes not attached to post offices per week in rural areas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is the average number of collections (1, 2, 3, 4, 5, 6 or 7) per week from letter boxes not attached to post offices.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Letter boxes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Letter boxes are receptacles situated in the street or at the post office, for the posting of mail.</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tbl>
      <w:tblPr>
        <w:tblW w:w="0" w:type="auto"/>
        <w:shd w:val="clear" w:color="auto" w:fill="E0E0E0"/>
        <w:tblLook w:val="01E0" w:firstRow="1" w:lastRow="1" w:firstColumn="1" w:lastColumn="1" w:noHBand="0" w:noVBand="0"/>
      </w:tblPr>
      <w:tblGrid>
        <w:gridCol w:w="9759"/>
      </w:tblGrid>
      <w:tr w:rsidR="00AF57E1" w:rsidRPr="00AF57E1" w:rsidTr="00495B77">
        <w:tc>
          <w:tcPr>
            <w:tcW w:w="9759" w:type="dxa"/>
            <w:shd w:val="clear" w:color="auto" w:fill="E0E0E0"/>
          </w:tcPr>
          <w:p w:rsidR="00AF57E1" w:rsidRPr="00AF57E1" w:rsidRDefault="00AF57E1" w:rsidP="00AF57E1">
            <w:pPr>
              <w:spacing w:before="60" w:after="60" w:line="240" w:lineRule="atLeast"/>
              <w:jc w:val="both"/>
              <w:rPr>
                <w:rFonts w:ascii="Arial" w:eastAsia="Times New Roman" w:hAnsi="Arial" w:cs="Arial"/>
                <w:b/>
                <w:bCs/>
                <w:snapToGrid w:val="0"/>
                <w:color w:val="auto"/>
                <w:sz w:val="20"/>
                <w:szCs w:val="20"/>
                <w:lang w:eastAsia="fr-FR"/>
              </w:rPr>
            </w:pPr>
            <w:r w:rsidRPr="00AF57E1">
              <w:rPr>
                <w:rFonts w:ascii="Arial" w:eastAsia="Times New Roman" w:hAnsi="Arial" w:cs="Arial"/>
                <w:b/>
                <w:bCs/>
                <w:snapToGrid w:val="0"/>
                <w:color w:val="auto"/>
                <w:sz w:val="20"/>
                <w:szCs w:val="20"/>
                <w:lang w:eastAsia="fr-FR"/>
              </w:rPr>
              <w:t>Delivery</w:t>
            </w:r>
          </w:p>
        </w:tc>
      </w:tr>
    </w:tbl>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The information requested in this section of the questionnaire concerns the delivery of ordinary mail, not including express mail.</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Deliveries per working day in urban areas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is the average number of ordinary mail deliveries (1, 2 or 3) per day.</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Deliveries per week in rural areas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is the average number of ordinary mail deliveries (1, 2, 3, 4, 5 or 6) per week.</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Percentage of the population having mail delivered at home</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is the percentage of the population having mail delivered at their own home. Delivery to community cluster boxes is regarded as home delivery.</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Percentage of the population without postal services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is the percentage of the population living in regions in which there is no postal service.</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Post office boxes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Post office boxes are boxes, pigeonholes, bags, parcel lockers, etc., placed in a postal establishment, to which customers' mail is delivered. This category also includes boxes placed at public access points.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Automated parcel lockers</w:t>
      </w:r>
    </w:p>
    <w:p w:rsidR="00AF57E1" w:rsidRPr="00AF57E1" w:rsidRDefault="00AF57E1" w:rsidP="00AF57E1">
      <w:pPr>
        <w:spacing w:line="240" w:lineRule="atLeast"/>
        <w:rPr>
          <w:rFonts w:ascii="Arial" w:eastAsia="Times New Roman" w:hAnsi="Arial" w:cs="Arial"/>
          <w:i/>
          <w:iCs/>
          <w:snapToGrid w:val="0"/>
          <w:color w:val="auto"/>
          <w:sz w:val="20"/>
          <w:szCs w:val="20"/>
          <w:lang w:eastAsia="fr-FR"/>
        </w:rPr>
      </w:pPr>
      <w:r w:rsidRPr="00AF57E1">
        <w:rPr>
          <w:rFonts w:ascii="Arial" w:eastAsia="Times New Roman" w:hAnsi="Arial" w:cs="Arial"/>
          <w:snapToGrid w:val="0"/>
          <w:color w:val="auto"/>
          <w:sz w:val="20"/>
          <w:szCs w:val="20"/>
          <w:lang w:eastAsia="fr-FR"/>
        </w:rPr>
        <w:t>Automated parcel lockers</w:t>
      </w:r>
      <w:r w:rsidRPr="00AF57E1">
        <w:rPr>
          <w:rFonts w:ascii="Arial" w:eastAsia="Times New Roman" w:hAnsi="Arial" w:cs="Arial"/>
          <w:i/>
          <w:iCs/>
          <w:snapToGrid w:val="0"/>
          <w:color w:val="auto"/>
          <w:sz w:val="20"/>
          <w:szCs w:val="20"/>
          <w:lang w:eastAsia="fr-FR"/>
        </w:rPr>
        <w:t xml:space="preserve"> </w:t>
      </w:r>
      <w:r w:rsidRPr="00AF57E1">
        <w:rPr>
          <w:rFonts w:ascii="Arial" w:eastAsia="Times New Roman" w:hAnsi="Arial" w:cs="Arial"/>
          <w:snapToGrid w:val="0"/>
          <w:color w:val="auto"/>
          <w:sz w:val="20"/>
          <w:szCs w:val="20"/>
          <w:lang w:eastAsia="fr-FR"/>
        </w:rPr>
        <w:t xml:space="preserve">are electronically controlled booths for the self-service collection of parcels, packages and oversize letters. These lockers are mainly located inside or outside high pedestrian traffic zones (e.g. stations, shopping malls) or in purpose-built designated locations accessible 24 hours a day, seven days a week. Customers generally need to register to use these services and are notified of a </w:t>
      </w:r>
      <w:r w:rsidRPr="00AF57E1">
        <w:rPr>
          <w:rFonts w:ascii="Arial" w:eastAsia="Times New Roman" w:hAnsi="Arial" w:cs="Arial"/>
          <w:snapToGrid w:val="0"/>
          <w:color w:val="auto"/>
          <w:sz w:val="20"/>
          <w:szCs w:val="20"/>
          <w:lang w:eastAsia="fr-FR"/>
        </w:rPr>
        <w:br/>
        <w:t>pick-up/collection from their locker by e-mail or SMS.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Number of postal establishments and public access points having post office boxes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is the number of postal establishments and public access points which have post office boxes.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lastRenderedPageBreak/>
        <w:t>Percentage of items delivered to post office boxes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This is the percentage of items delivered to post office boxes, as a proportion of overall mail, as opposed to mail delivered to homes.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Example: of total mail deliveries, 80% of items are delivered to customers' homes and 20% to post office boxes.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lang w:eastAsia="fr-FR"/>
        </w:rPr>
      </w:pPr>
      <w:r w:rsidRPr="00AF57E1">
        <w:rPr>
          <w:rFonts w:ascii="Arial" w:eastAsia="Times New Roman" w:hAnsi="Arial" w:cs="Arial"/>
          <w:i/>
          <w:iCs/>
          <w:snapToGrid w:val="0"/>
          <w:color w:val="auto"/>
          <w:sz w:val="20"/>
          <w:lang w:eastAsia="fr-FR"/>
        </w:rPr>
        <w:t xml:space="preserve">Domestic quality standard for priority mail </w:t>
      </w:r>
    </w:p>
    <w:p w:rsidR="00AF57E1" w:rsidRPr="00AF57E1" w:rsidRDefault="00AF57E1" w:rsidP="00AF57E1">
      <w:pPr>
        <w:spacing w:line="240" w:lineRule="atLeast"/>
        <w:jc w:val="both"/>
        <w:rPr>
          <w:rFonts w:ascii="Arial" w:eastAsia="Times New Roman" w:hAnsi="Arial" w:cs="Arial"/>
          <w:snapToGrid w:val="0"/>
          <w:color w:val="auto"/>
          <w:sz w:val="20"/>
          <w:lang w:eastAsia="fr-FR"/>
        </w:rPr>
      </w:pPr>
      <w:r w:rsidRPr="00AF57E1">
        <w:rPr>
          <w:rFonts w:ascii="Arial" w:eastAsia="Times New Roman" w:hAnsi="Arial" w:cs="Arial"/>
          <w:snapToGrid w:val="0"/>
          <w:color w:val="auto"/>
          <w:sz w:val="20"/>
          <w:lang w:eastAsia="fr-FR"/>
        </w:rPr>
        <w:t>This is the expected end-to-end transit time for domestic priority letter-post items. Usually, it is one (J+1), two (J+2) or three (J+3) days. If different standards apply for different routes within the country, then the shortest one should be chosen. Similarly, if multiple standards apply for the same route (e.g. J+1 "speed" and J+3 "reliability") only the shortest one should be indicated.</w:t>
      </w:r>
    </w:p>
    <w:p w:rsidR="00AF57E1" w:rsidRPr="00AF57E1" w:rsidRDefault="00AF57E1" w:rsidP="00AF57E1">
      <w:pPr>
        <w:spacing w:line="240" w:lineRule="atLeast"/>
        <w:jc w:val="both"/>
        <w:rPr>
          <w:rFonts w:ascii="Arial" w:eastAsia="Times New Roman" w:hAnsi="Arial" w:cs="Arial"/>
          <w:snapToGrid w:val="0"/>
          <w:color w:val="auto"/>
          <w:sz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lang w:eastAsia="fr-FR"/>
        </w:rPr>
      </w:pPr>
      <w:r w:rsidRPr="00AF57E1">
        <w:rPr>
          <w:rFonts w:ascii="Arial" w:eastAsia="Times New Roman" w:hAnsi="Arial" w:cs="Arial"/>
          <w:snapToGrid w:val="0"/>
          <w:color w:val="auto"/>
          <w:sz w:val="20"/>
          <w:lang w:eastAsia="fr-FR"/>
        </w:rPr>
        <w:t>Example: in a given country, the standard for routes between and within cities may be J+1, whereas for routes between cities and rural areas it may be J+3. In this case, you would choose only J+1.</w:t>
      </w:r>
    </w:p>
    <w:p w:rsidR="00AF57E1" w:rsidRPr="00AF57E1" w:rsidRDefault="00AF57E1" w:rsidP="00AF57E1">
      <w:pPr>
        <w:spacing w:line="240" w:lineRule="atLeast"/>
        <w:jc w:val="both"/>
        <w:rPr>
          <w:rFonts w:ascii="Arial" w:eastAsia="Times New Roman" w:hAnsi="Arial" w:cs="Arial"/>
          <w:snapToGrid w:val="0"/>
          <w:color w:val="auto"/>
          <w:sz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lang w:eastAsia="fr-FR"/>
        </w:rPr>
      </w:pPr>
      <w:r w:rsidRPr="00AF57E1">
        <w:rPr>
          <w:rFonts w:ascii="Arial" w:eastAsia="Times New Roman" w:hAnsi="Arial" w:cs="Arial"/>
          <w:i/>
          <w:iCs/>
          <w:snapToGrid w:val="0"/>
          <w:color w:val="auto"/>
          <w:sz w:val="20"/>
          <w:lang w:eastAsia="fr-FR"/>
        </w:rPr>
        <w:t>Quality target</w:t>
      </w:r>
    </w:p>
    <w:p w:rsidR="00AF57E1" w:rsidRPr="00AF57E1" w:rsidRDefault="00AF57E1" w:rsidP="00AF57E1">
      <w:pPr>
        <w:spacing w:line="240" w:lineRule="atLeast"/>
        <w:jc w:val="both"/>
        <w:rPr>
          <w:rFonts w:ascii="Arial" w:eastAsia="Times New Roman" w:hAnsi="Arial" w:cs="Arial"/>
          <w:snapToGrid w:val="0"/>
          <w:color w:val="auto"/>
          <w:sz w:val="20"/>
          <w:lang w:eastAsia="fr-FR"/>
        </w:rPr>
      </w:pPr>
      <w:r w:rsidRPr="00AF57E1">
        <w:rPr>
          <w:rFonts w:ascii="Arial" w:eastAsia="Times New Roman" w:hAnsi="Arial" w:cs="Arial"/>
          <w:snapToGrid w:val="0"/>
          <w:color w:val="auto"/>
          <w:sz w:val="20"/>
          <w:lang w:eastAsia="fr-FR"/>
        </w:rPr>
        <w:t>This is the percentage of items to be delivered within the standard defined in the previous heading. The quality target is usually set by the regulator and ranges from 80 to 95%.</w:t>
      </w:r>
    </w:p>
    <w:p w:rsidR="00AF57E1" w:rsidRPr="00AF57E1" w:rsidRDefault="00AF57E1" w:rsidP="00AF57E1">
      <w:pPr>
        <w:spacing w:line="240" w:lineRule="atLeast"/>
        <w:jc w:val="both"/>
        <w:rPr>
          <w:rFonts w:ascii="Arial" w:eastAsia="Times New Roman" w:hAnsi="Arial" w:cs="Arial"/>
          <w:snapToGrid w:val="0"/>
          <w:color w:val="auto"/>
          <w:sz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lang w:eastAsia="fr-FR"/>
        </w:rPr>
      </w:pPr>
      <w:r w:rsidRPr="00AF57E1">
        <w:rPr>
          <w:rFonts w:ascii="Arial" w:eastAsia="Times New Roman" w:hAnsi="Arial" w:cs="Arial"/>
          <w:i/>
          <w:iCs/>
          <w:snapToGrid w:val="0"/>
          <w:color w:val="auto"/>
          <w:sz w:val="20"/>
          <w:lang w:eastAsia="fr-FR"/>
        </w:rPr>
        <w:t>Performance level</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is the percentage of items actually delivered within the quality standard. This figure should be the annual result of a domestic quality measurement for the given year. If such a measurement does not exist, Global Monitoring System results (domestic performance for incoming international mail) should be used.</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tbl>
      <w:tblPr>
        <w:tblW w:w="0" w:type="auto"/>
        <w:shd w:val="clear" w:color="auto" w:fill="E0E0E0"/>
        <w:tblLook w:val="01E0" w:firstRow="1" w:lastRow="1" w:firstColumn="1" w:lastColumn="1" w:noHBand="0" w:noVBand="0"/>
      </w:tblPr>
      <w:tblGrid>
        <w:gridCol w:w="9759"/>
      </w:tblGrid>
      <w:tr w:rsidR="00AF57E1" w:rsidRPr="00AF57E1" w:rsidTr="00495B77">
        <w:tc>
          <w:tcPr>
            <w:tcW w:w="9759" w:type="dxa"/>
            <w:shd w:val="clear" w:color="auto" w:fill="E0E0E0"/>
          </w:tcPr>
          <w:p w:rsidR="00AF57E1" w:rsidRPr="00AF57E1" w:rsidRDefault="00AF57E1" w:rsidP="00AF57E1">
            <w:pPr>
              <w:spacing w:before="60" w:after="60" w:line="240" w:lineRule="atLeast"/>
              <w:jc w:val="both"/>
              <w:rPr>
                <w:rFonts w:ascii="Arial" w:eastAsia="Times New Roman" w:hAnsi="Arial" w:cs="Arial"/>
                <w:b/>
                <w:bCs/>
                <w:snapToGrid w:val="0"/>
                <w:color w:val="auto"/>
                <w:sz w:val="20"/>
                <w:szCs w:val="20"/>
                <w:lang w:eastAsia="fr-FR"/>
              </w:rPr>
            </w:pPr>
            <w:r w:rsidRPr="00AF57E1">
              <w:rPr>
                <w:rFonts w:ascii="Arial" w:eastAsia="Times New Roman" w:hAnsi="Arial" w:cs="Arial"/>
                <w:b/>
                <w:bCs/>
                <w:snapToGrid w:val="0"/>
                <w:color w:val="auto"/>
                <w:sz w:val="20"/>
                <w:szCs w:val="20"/>
                <w:lang w:eastAsia="fr-FR"/>
              </w:rPr>
              <w:t>Postal income per product</w:t>
            </w:r>
          </w:p>
        </w:tc>
      </w:tr>
    </w:tbl>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The table should reflect the distribution of the total income per business line.</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It is important to note that income derived from postal payments should be assigned to "postal financial services" and not "other products".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tbl>
      <w:tblPr>
        <w:tblW w:w="0" w:type="auto"/>
        <w:shd w:val="clear" w:color="auto" w:fill="E0E0E0"/>
        <w:tblLook w:val="01E0" w:firstRow="1" w:lastRow="1" w:firstColumn="1" w:lastColumn="1" w:noHBand="0" w:noVBand="0"/>
      </w:tblPr>
      <w:tblGrid>
        <w:gridCol w:w="9759"/>
      </w:tblGrid>
      <w:tr w:rsidR="00AF57E1" w:rsidRPr="00AF57E1" w:rsidTr="00495B77">
        <w:tc>
          <w:tcPr>
            <w:tcW w:w="9759" w:type="dxa"/>
            <w:shd w:val="clear" w:color="auto" w:fill="E0E0E0"/>
          </w:tcPr>
          <w:p w:rsidR="00AF57E1" w:rsidRPr="00AF57E1" w:rsidRDefault="00AF57E1" w:rsidP="00AF57E1">
            <w:pPr>
              <w:spacing w:before="60" w:after="60" w:line="240" w:lineRule="atLeast"/>
              <w:jc w:val="both"/>
              <w:rPr>
                <w:rFonts w:ascii="Arial" w:eastAsia="Times New Roman" w:hAnsi="Arial" w:cs="Arial"/>
                <w:b/>
                <w:bCs/>
                <w:snapToGrid w:val="0"/>
                <w:color w:val="auto"/>
                <w:sz w:val="20"/>
                <w:szCs w:val="20"/>
                <w:lang w:eastAsia="fr-FR"/>
              </w:rPr>
            </w:pPr>
            <w:r w:rsidRPr="00AF57E1">
              <w:rPr>
                <w:rFonts w:ascii="Arial" w:eastAsia="Times New Roman" w:hAnsi="Arial" w:cs="Arial"/>
                <w:b/>
                <w:bCs/>
                <w:snapToGrid w:val="0"/>
                <w:color w:val="auto"/>
                <w:sz w:val="20"/>
                <w:szCs w:val="20"/>
                <w:lang w:eastAsia="fr-FR"/>
              </w:rPr>
              <w:t>Financial results</w:t>
            </w:r>
          </w:p>
        </w:tc>
      </w:tr>
    </w:tbl>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Data are to be supplied by designated operators in their national currency; the International Bureau will then convert them to SDR at the IMF exchange rate of 31 December of the year in question.</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b/>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Operating revenue</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Operating revenue comprises:</w:t>
      </w:r>
    </w:p>
    <w:p w:rsidR="00AF57E1" w:rsidRPr="00AF57E1" w:rsidRDefault="00AF57E1" w:rsidP="00AF57E1">
      <w:pPr>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income</w:t>
      </w:r>
      <w:proofErr w:type="gramEnd"/>
      <w:r w:rsidRPr="00AF57E1">
        <w:rPr>
          <w:rFonts w:ascii="Arial" w:eastAsia="Times New Roman" w:hAnsi="Arial" w:cs="Arial"/>
          <w:snapToGrid w:val="0"/>
          <w:color w:val="auto"/>
          <w:sz w:val="20"/>
          <w:szCs w:val="20"/>
          <w:lang w:eastAsia="fr-FR"/>
        </w:rPr>
        <w:t xml:space="preserve"> from the sale of services: postal charges (stamps, franking marks, etc.), income from passen</w:t>
      </w:r>
      <w:r w:rsidRPr="00AF57E1">
        <w:rPr>
          <w:rFonts w:ascii="Arial" w:eastAsia="Times New Roman" w:hAnsi="Arial" w:cs="Arial"/>
          <w:snapToGrid w:val="0"/>
          <w:color w:val="auto"/>
          <w:sz w:val="20"/>
          <w:szCs w:val="20"/>
          <w:lang w:eastAsia="fr-FR"/>
        </w:rPr>
        <w:softHyphen/>
        <w:t>ger transport operations, the giro service, the postal savings bank service or the post bank;</w:t>
      </w:r>
    </w:p>
    <w:p w:rsidR="00AF57E1" w:rsidRPr="00AF57E1" w:rsidRDefault="00AF57E1" w:rsidP="00AF57E1">
      <w:pPr>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lastRenderedPageBreak/>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remuneration</w:t>
      </w:r>
      <w:proofErr w:type="gramEnd"/>
      <w:r w:rsidRPr="00AF57E1">
        <w:rPr>
          <w:rFonts w:ascii="Arial" w:eastAsia="Times New Roman" w:hAnsi="Arial" w:cs="Arial"/>
          <w:snapToGrid w:val="0"/>
          <w:color w:val="auto"/>
          <w:sz w:val="20"/>
          <w:szCs w:val="20"/>
          <w:lang w:eastAsia="fr-FR"/>
        </w:rPr>
        <w:t xml:space="preserve"> for transport and delivery of international mail;</w:t>
      </w:r>
    </w:p>
    <w:p w:rsidR="00AF57E1" w:rsidRPr="00AF57E1" w:rsidRDefault="00AF57E1" w:rsidP="00AF57E1">
      <w:pPr>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remuneration</w:t>
      </w:r>
      <w:proofErr w:type="gramEnd"/>
      <w:r w:rsidRPr="00AF57E1">
        <w:rPr>
          <w:rFonts w:ascii="Arial" w:eastAsia="Times New Roman" w:hAnsi="Arial" w:cs="Arial"/>
          <w:snapToGrid w:val="0"/>
          <w:color w:val="auto"/>
          <w:sz w:val="20"/>
          <w:szCs w:val="20"/>
          <w:lang w:eastAsia="fr-FR"/>
        </w:rPr>
        <w:t xml:space="preserve"> from public or private non-postal operators (e.g. road, rail or sea carriers);</w:t>
      </w:r>
    </w:p>
    <w:p w:rsidR="00AF57E1" w:rsidRPr="00AF57E1" w:rsidRDefault="00AF57E1" w:rsidP="00AF57E1">
      <w:pPr>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various</w:t>
      </w:r>
      <w:proofErr w:type="gramEnd"/>
      <w:r w:rsidRPr="00AF57E1">
        <w:rPr>
          <w:rFonts w:ascii="Arial" w:eastAsia="Times New Roman" w:hAnsi="Arial" w:cs="Arial"/>
          <w:snapToGrid w:val="0"/>
          <w:color w:val="auto"/>
          <w:sz w:val="20"/>
          <w:szCs w:val="20"/>
          <w:lang w:eastAsia="fr-FR"/>
        </w:rPr>
        <w:t xml:space="preserve"> subsidies received (State, community, public or private institutions);</w:t>
      </w:r>
    </w:p>
    <w:p w:rsidR="00AF57E1" w:rsidRPr="00AF57E1" w:rsidRDefault="00AF57E1" w:rsidP="00AF57E1">
      <w:pPr>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other</w:t>
      </w:r>
      <w:proofErr w:type="gramEnd"/>
      <w:r w:rsidRPr="00AF57E1">
        <w:rPr>
          <w:rFonts w:ascii="Arial" w:eastAsia="Times New Roman" w:hAnsi="Arial" w:cs="Arial"/>
          <w:snapToGrid w:val="0"/>
          <w:color w:val="auto"/>
          <w:sz w:val="20"/>
          <w:szCs w:val="20"/>
          <w:lang w:eastAsia="fr-FR"/>
        </w:rPr>
        <w:t xml:space="preserve"> operating income (e.g. insurance policies sold by the designated operator).</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b/>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Operating costs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Operating costs comprise:</w:t>
      </w:r>
    </w:p>
    <w:p w:rsidR="00AF57E1" w:rsidRPr="00AF57E1" w:rsidRDefault="00AF57E1" w:rsidP="00AF57E1">
      <w:pPr>
        <w:tabs>
          <w:tab w:val="left" w:pos="567"/>
        </w:tabs>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t>staffing costs (salaries, social contributions, staff benefits, other staffing expenses);</w:t>
      </w:r>
    </w:p>
    <w:p w:rsidR="00AF57E1" w:rsidRPr="00AF57E1" w:rsidRDefault="00AF57E1" w:rsidP="00AF57E1">
      <w:pPr>
        <w:tabs>
          <w:tab w:val="left" w:pos="567"/>
        </w:tabs>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taxes</w:t>
      </w:r>
      <w:proofErr w:type="gramEnd"/>
      <w:r w:rsidRPr="00AF57E1">
        <w:rPr>
          <w:rFonts w:ascii="Arial" w:eastAsia="Times New Roman" w:hAnsi="Arial" w:cs="Arial"/>
          <w:snapToGrid w:val="0"/>
          <w:color w:val="auto"/>
          <w:sz w:val="20"/>
          <w:szCs w:val="20"/>
          <w:lang w:eastAsia="fr-FR"/>
        </w:rPr>
        <w:t>, payroll taxes, other taxes and contributions;</w:t>
      </w:r>
    </w:p>
    <w:p w:rsidR="00AF57E1" w:rsidRPr="00AF57E1" w:rsidRDefault="00AF57E1" w:rsidP="00AF57E1">
      <w:pPr>
        <w:tabs>
          <w:tab w:val="left" w:pos="567"/>
        </w:tabs>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depreciation</w:t>
      </w:r>
      <w:proofErr w:type="gramEnd"/>
      <w:r w:rsidRPr="00AF57E1">
        <w:rPr>
          <w:rFonts w:ascii="Arial" w:eastAsia="Times New Roman" w:hAnsi="Arial" w:cs="Arial"/>
          <w:snapToGrid w:val="0"/>
          <w:color w:val="auto"/>
          <w:sz w:val="20"/>
          <w:szCs w:val="20"/>
          <w:lang w:eastAsia="fr-FR"/>
        </w:rPr>
        <w:t xml:space="preserve"> (amortization) of tangible assets (including transport equipment, computer equipment, other logistical postal service facilities, buildings, land), and intangible assets (licences, patents);</w:t>
      </w:r>
    </w:p>
    <w:p w:rsidR="00AF57E1" w:rsidRPr="00AF57E1" w:rsidRDefault="00AF57E1" w:rsidP="00AF57E1">
      <w:pPr>
        <w:tabs>
          <w:tab w:val="left" w:pos="567"/>
        </w:tabs>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domestic</w:t>
      </w:r>
      <w:proofErr w:type="gramEnd"/>
      <w:r w:rsidRPr="00AF57E1">
        <w:rPr>
          <w:rFonts w:ascii="Arial" w:eastAsia="Times New Roman" w:hAnsi="Arial" w:cs="Arial"/>
          <w:snapToGrid w:val="0"/>
          <w:color w:val="auto"/>
          <w:sz w:val="20"/>
          <w:szCs w:val="20"/>
          <w:lang w:eastAsia="fr-FR"/>
        </w:rPr>
        <w:t xml:space="preserve"> and international mail transport costs (e.g. road, rail, sea or air carriers);</w:t>
      </w:r>
    </w:p>
    <w:p w:rsidR="00AF57E1" w:rsidRPr="00AF57E1" w:rsidRDefault="00AF57E1" w:rsidP="00AF57E1">
      <w:pPr>
        <w:tabs>
          <w:tab w:val="left" w:pos="567"/>
        </w:tabs>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remuneration</w:t>
      </w:r>
      <w:proofErr w:type="gramEnd"/>
      <w:r w:rsidRPr="00AF57E1">
        <w:rPr>
          <w:rFonts w:ascii="Arial" w:eastAsia="Times New Roman" w:hAnsi="Arial" w:cs="Arial"/>
          <w:snapToGrid w:val="0"/>
          <w:color w:val="auto"/>
          <w:sz w:val="20"/>
          <w:szCs w:val="20"/>
          <w:lang w:eastAsia="fr-FR"/>
        </w:rPr>
        <w:t xml:space="preserve"> paid to public or private operators, including terminal dues and rates paid to other postal operators;</w:t>
      </w:r>
    </w:p>
    <w:p w:rsidR="00AF57E1" w:rsidRPr="00AF57E1" w:rsidRDefault="00AF57E1" w:rsidP="00AF57E1">
      <w:pPr>
        <w:tabs>
          <w:tab w:val="left" w:pos="567"/>
        </w:tabs>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various</w:t>
      </w:r>
      <w:proofErr w:type="gramEnd"/>
      <w:r w:rsidRPr="00AF57E1">
        <w:rPr>
          <w:rFonts w:ascii="Arial" w:eastAsia="Times New Roman" w:hAnsi="Arial" w:cs="Arial"/>
          <w:snapToGrid w:val="0"/>
          <w:color w:val="auto"/>
          <w:sz w:val="20"/>
          <w:szCs w:val="20"/>
          <w:lang w:eastAsia="fr-FR"/>
        </w:rPr>
        <w:t xml:space="preserve"> subsidies paid to the State, community, or public or private institutions;</w:t>
      </w:r>
    </w:p>
    <w:p w:rsidR="00AF57E1" w:rsidRPr="00AF57E1" w:rsidRDefault="00AF57E1" w:rsidP="00AF57E1">
      <w:pPr>
        <w:tabs>
          <w:tab w:val="left" w:pos="567"/>
        </w:tabs>
        <w:spacing w:before="120" w:line="240" w:lineRule="atLeast"/>
        <w:ind w:left="567" w:hanging="567"/>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w:t>
      </w:r>
      <w:r w:rsidRPr="00AF57E1">
        <w:rPr>
          <w:rFonts w:ascii="Arial" w:eastAsia="Times New Roman" w:hAnsi="Arial" w:cs="Arial"/>
          <w:snapToGrid w:val="0"/>
          <w:color w:val="auto"/>
          <w:sz w:val="20"/>
          <w:szCs w:val="20"/>
          <w:lang w:eastAsia="fr-FR"/>
        </w:rPr>
        <w:tab/>
      </w:r>
      <w:proofErr w:type="gramStart"/>
      <w:r w:rsidRPr="00AF57E1">
        <w:rPr>
          <w:rFonts w:ascii="Arial" w:eastAsia="Times New Roman" w:hAnsi="Arial" w:cs="Arial"/>
          <w:snapToGrid w:val="0"/>
          <w:color w:val="auto"/>
          <w:sz w:val="20"/>
          <w:szCs w:val="20"/>
          <w:lang w:eastAsia="fr-FR"/>
        </w:rPr>
        <w:t>other</w:t>
      </w:r>
      <w:proofErr w:type="gramEnd"/>
      <w:r w:rsidRPr="00AF57E1">
        <w:rPr>
          <w:rFonts w:ascii="Arial" w:eastAsia="Times New Roman" w:hAnsi="Arial" w:cs="Arial"/>
          <w:snapToGrid w:val="0"/>
          <w:color w:val="auto"/>
          <w:sz w:val="20"/>
          <w:szCs w:val="20"/>
          <w:lang w:eastAsia="fr-FR"/>
        </w:rPr>
        <w:t xml:space="preserve"> operating costs (rental and maintenance of premises, advertising, market research, insurance, other administrative costs, etc.).</w:t>
      </w:r>
    </w:p>
    <w:p w:rsidR="00AF57E1" w:rsidRPr="00AF57E1" w:rsidRDefault="00AF57E1" w:rsidP="00AF57E1">
      <w:pPr>
        <w:tabs>
          <w:tab w:val="left" w:pos="567"/>
        </w:tabs>
        <w:spacing w:before="120" w:line="240" w:lineRule="atLeast"/>
        <w:ind w:left="567" w:hanging="567"/>
        <w:jc w:val="both"/>
        <w:rPr>
          <w:rFonts w:ascii="Arial" w:eastAsia="Times New Roman" w:hAnsi="Arial" w:cs="Arial"/>
          <w:i/>
          <w:iCs/>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Net result (after tax)</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The net result of a business is equal to the sum of its income over a given period, minus all its expenditure (operating, financial and extraordinary expenditure) over the same period, and minus corporation tax. The net result may therefore be either a loss (negative net result) or a gain (positive net result).</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Subsidies received</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means transfer payments paid to businesses or public bodies in compensation for persistent losses (e.g. negative operating results) in their economic activity, as a consequence of prices that are set below the average production cost, resulting from an express economic or social policy of the government (including universal service obligation).</w:t>
      </w:r>
    </w:p>
    <w:p w:rsidR="00AF57E1" w:rsidRPr="00AF57E1" w:rsidRDefault="00AF57E1" w:rsidP="00AF57E1">
      <w:pPr>
        <w:spacing w:line="240" w:lineRule="atLeast"/>
        <w:jc w:val="both"/>
        <w:rPr>
          <w:rFonts w:ascii="Arial" w:eastAsia="Times New Roman" w:hAnsi="Arial" w:cs="Arial"/>
          <w:snapToGrid w:val="0"/>
          <w:color w:val="auto"/>
          <w:sz w:val="20"/>
          <w:szCs w:val="20"/>
          <w:u w:val="single"/>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Investments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Investment is an economic operation aimed at acquiring production assets or tangible or intangible assets which permit the production of other goods and services and which are durable (used for a number of financial years). In concrete terms, investment may consist of purchasing ground, buildings or machines, but also buying software, research costs, purchasing patents, etc.</w:t>
      </w:r>
    </w:p>
    <w:p w:rsidR="00AF57E1" w:rsidRPr="00AF57E1" w:rsidRDefault="00AF57E1" w:rsidP="00AF57E1">
      <w:pPr>
        <w:spacing w:after="200"/>
        <w:rPr>
          <w:rFonts w:ascii="Arial" w:eastAsia="Calibri" w:hAnsi="Arial" w:cs="Arial"/>
          <w:snapToGrid w:val="0"/>
          <w:color w:val="auto"/>
          <w:sz w:val="22"/>
          <w:szCs w:val="22"/>
          <w:lang w:val="en-US" w:eastAsia="fr-FR"/>
        </w:rPr>
      </w:pPr>
    </w:p>
    <w:tbl>
      <w:tblPr>
        <w:tblW w:w="0" w:type="auto"/>
        <w:shd w:val="clear" w:color="auto" w:fill="E0E0E0"/>
        <w:tblLook w:val="01E0" w:firstRow="1" w:lastRow="1" w:firstColumn="1" w:lastColumn="1" w:noHBand="0" w:noVBand="0"/>
      </w:tblPr>
      <w:tblGrid>
        <w:gridCol w:w="9759"/>
      </w:tblGrid>
      <w:tr w:rsidR="00AF57E1" w:rsidRPr="00AF57E1" w:rsidTr="00495B77">
        <w:tc>
          <w:tcPr>
            <w:tcW w:w="9759" w:type="dxa"/>
            <w:shd w:val="clear" w:color="auto" w:fill="E0E0E0"/>
          </w:tcPr>
          <w:p w:rsidR="00AF57E1" w:rsidRPr="00AF57E1" w:rsidRDefault="00AF57E1" w:rsidP="00AF57E1">
            <w:pPr>
              <w:spacing w:before="60" w:after="60" w:line="240" w:lineRule="atLeast"/>
              <w:jc w:val="both"/>
              <w:rPr>
                <w:rFonts w:ascii="Arial" w:eastAsia="Times New Roman" w:hAnsi="Arial" w:cs="Arial"/>
                <w:b/>
                <w:bCs/>
                <w:snapToGrid w:val="0"/>
                <w:color w:val="auto"/>
                <w:sz w:val="20"/>
                <w:szCs w:val="20"/>
                <w:lang w:eastAsia="fr-FR"/>
              </w:rPr>
            </w:pPr>
            <w:r w:rsidRPr="00AF57E1">
              <w:rPr>
                <w:rFonts w:ascii="Arial" w:eastAsia="Times New Roman" w:hAnsi="Arial" w:cs="Arial"/>
                <w:b/>
                <w:bCs/>
                <w:snapToGrid w:val="0"/>
                <w:color w:val="auto"/>
                <w:sz w:val="20"/>
                <w:szCs w:val="20"/>
                <w:lang w:eastAsia="fr-FR"/>
              </w:rPr>
              <w:lastRenderedPageBreak/>
              <w:t>Letter post and communication products</w:t>
            </w:r>
          </w:p>
        </w:tc>
      </w:tr>
    </w:tbl>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i/>
          <w:iCs/>
          <w:snapToGrid w:val="0"/>
          <w:color w:val="auto"/>
          <w:sz w:val="20"/>
          <w:szCs w:val="20"/>
          <w:lang w:eastAsia="fr-FR"/>
        </w:rPr>
        <w:t>Letter-post items</w:t>
      </w:r>
      <w:r w:rsidRPr="00AF57E1">
        <w:rPr>
          <w:rFonts w:ascii="Arial" w:eastAsia="Times New Roman" w:hAnsi="Arial" w:cs="Arial"/>
          <w:snapToGrid w:val="0"/>
          <w:color w:val="auto"/>
          <w:sz w:val="20"/>
          <w:szCs w:val="20"/>
          <w:lang w:eastAsia="fr-FR"/>
        </w:rPr>
        <w:t xml:space="preserve"> essentially consist of letters and postcards, aerogrammes, printed matter (newspapers, periodicals), addressed or unaddressed advertising materials, small packets, literature for the blind and, where applicable, in the domestic service, commercial papers, samples of merchandise, "phonopost" items, postal packets, etc.</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i/>
          <w:iCs/>
          <w:snapToGrid w:val="0"/>
          <w:color w:val="auto"/>
          <w:sz w:val="20"/>
          <w:szCs w:val="20"/>
          <w:lang w:eastAsia="fr-FR"/>
        </w:rPr>
        <w:t>Merchandise</w:t>
      </w:r>
      <w:r w:rsidRPr="00AF57E1">
        <w:rPr>
          <w:rFonts w:ascii="Arial" w:eastAsia="Times New Roman" w:hAnsi="Arial" w:cs="Arial"/>
          <w:snapToGrid w:val="0"/>
          <w:color w:val="auto"/>
          <w:sz w:val="20"/>
          <w:szCs w:val="20"/>
          <w:lang w:eastAsia="fr-FR"/>
        </w:rPr>
        <w:t xml:space="preserve"> </w:t>
      </w:r>
      <w:r w:rsidRPr="00AF57E1">
        <w:rPr>
          <w:rFonts w:ascii="Arial" w:eastAsia="Times New Roman" w:hAnsi="Arial" w:cs="Arial"/>
          <w:i/>
          <w:iCs/>
          <w:snapToGrid w:val="0"/>
          <w:color w:val="auto"/>
          <w:sz w:val="20"/>
          <w:szCs w:val="20"/>
          <w:lang w:eastAsia="fr-FR"/>
        </w:rPr>
        <w:t>items</w:t>
      </w:r>
      <w:r w:rsidRPr="00AF57E1">
        <w:rPr>
          <w:rFonts w:ascii="Arial" w:eastAsia="Times New Roman" w:hAnsi="Arial" w:cs="Arial"/>
          <w:snapToGrid w:val="0"/>
          <w:color w:val="auto"/>
          <w:sz w:val="20"/>
          <w:szCs w:val="20"/>
          <w:lang w:eastAsia="fr-FR"/>
        </w:rPr>
        <w:t xml:space="preserve"> are those that contain commercial products, normally identifiable by their dimensions. Classifications may vary depending on the postal organization. For example, if one dimension is much lower than the other two (flat), the item may be classed as a document rather than merchandise. The country-specific classification should be used.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Advertising items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Advertising mail refers to items which contain mainly advertising. They can be of two categories: addressed and unaddressed items. It often also comprises printed matter ("all boxes" or targeted).</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Newspapers and periodicals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refers to copies of newspapers and periodicals dispatched and delivered by the designated operator in the domestic service.</w:t>
      </w: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Basic tariff</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is the tariff for a priority letter-post item within the first weight step, expressed in national currency. If this tariff depends on the distance/zone, the lowest one should be indicated.</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tbl>
      <w:tblPr>
        <w:tblW w:w="0" w:type="auto"/>
        <w:shd w:val="clear" w:color="auto" w:fill="E0E0E0"/>
        <w:tblLook w:val="01E0" w:firstRow="1" w:lastRow="1" w:firstColumn="1" w:lastColumn="1" w:noHBand="0" w:noVBand="0"/>
      </w:tblPr>
      <w:tblGrid>
        <w:gridCol w:w="9759"/>
      </w:tblGrid>
      <w:tr w:rsidR="00AF57E1" w:rsidRPr="00AF57E1" w:rsidTr="00495B77">
        <w:tc>
          <w:tcPr>
            <w:tcW w:w="9759" w:type="dxa"/>
            <w:shd w:val="clear" w:color="auto" w:fill="E0E0E0"/>
          </w:tcPr>
          <w:p w:rsidR="00AF57E1" w:rsidRPr="00AF57E1" w:rsidRDefault="00AF57E1" w:rsidP="00AF57E1">
            <w:pPr>
              <w:spacing w:before="60" w:after="60" w:line="240" w:lineRule="atLeast"/>
              <w:jc w:val="both"/>
              <w:rPr>
                <w:rFonts w:ascii="Arial" w:eastAsia="Times New Roman" w:hAnsi="Arial" w:cs="Arial"/>
                <w:b/>
                <w:bCs/>
                <w:snapToGrid w:val="0"/>
                <w:color w:val="auto"/>
                <w:sz w:val="20"/>
                <w:szCs w:val="20"/>
                <w:lang w:eastAsia="fr-FR"/>
              </w:rPr>
            </w:pPr>
            <w:r w:rsidRPr="00AF57E1">
              <w:rPr>
                <w:rFonts w:ascii="Arial" w:eastAsia="Times New Roman" w:hAnsi="Arial" w:cs="Arial"/>
                <w:b/>
                <w:bCs/>
                <w:snapToGrid w:val="0"/>
                <w:color w:val="auto"/>
                <w:sz w:val="20"/>
                <w:szCs w:val="20"/>
                <w:lang w:eastAsia="fr-FR"/>
              </w:rPr>
              <w:t>Hybrid mail</w:t>
            </w:r>
          </w:p>
        </w:tc>
      </w:tr>
    </w:tbl>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Hybrid mail</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Hybrid mail is an electronic-based postal service whereby the sender posts the original message in either a physical or an electronic form, after which it is electronically transmitted and converted into a letter-post item for physical delivery to the addressee. It might also contain advertising items. The original transmission might be converted into other than physical means, such as fax, e-mail, or SMS. It might be converted to multiple means.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For a more detailed definition of letter post, please refer to the Letter Post Manual.</w:t>
      </w:r>
    </w:p>
    <w:p w:rsidR="00AF57E1" w:rsidRPr="00AF57E1" w:rsidRDefault="00AF57E1" w:rsidP="00AF57E1">
      <w:pPr>
        <w:spacing w:after="200"/>
        <w:rPr>
          <w:rFonts w:ascii="Arial" w:eastAsia="Calibri" w:hAnsi="Arial" w:cs="Arial"/>
          <w:snapToGrid w:val="0"/>
          <w:color w:val="auto"/>
          <w:sz w:val="22"/>
          <w:szCs w:val="22"/>
          <w:lang w:val="en-US" w:eastAsia="fr-FR"/>
        </w:rPr>
      </w:pPr>
      <w:r w:rsidRPr="00AF57E1">
        <w:rPr>
          <w:rFonts w:ascii="Arial" w:eastAsia="Calibri" w:hAnsi="Arial" w:cs="Arial"/>
          <w:color w:val="auto"/>
          <w:sz w:val="22"/>
          <w:szCs w:val="22"/>
          <w:lang w:val="en-US"/>
        </w:rPr>
        <w:br w:type="page"/>
      </w:r>
    </w:p>
    <w:tbl>
      <w:tblPr>
        <w:tblW w:w="0" w:type="auto"/>
        <w:shd w:val="clear" w:color="auto" w:fill="E0E0E0"/>
        <w:tblLook w:val="01E0" w:firstRow="1" w:lastRow="1" w:firstColumn="1" w:lastColumn="1" w:noHBand="0" w:noVBand="0"/>
      </w:tblPr>
      <w:tblGrid>
        <w:gridCol w:w="9759"/>
      </w:tblGrid>
      <w:tr w:rsidR="00AF57E1" w:rsidRPr="00AF57E1" w:rsidTr="00495B77">
        <w:tc>
          <w:tcPr>
            <w:tcW w:w="9759" w:type="dxa"/>
            <w:shd w:val="clear" w:color="auto" w:fill="E0E0E0"/>
          </w:tcPr>
          <w:p w:rsidR="00AF57E1" w:rsidRPr="00AF57E1" w:rsidRDefault="00AF57E1" w:rsidP="00AF57E1">
            <w:pPr>
              <w:pageBreakBefore/>
              <w:spacing w:before="60" w:after="60" w:line="240" w:lineRule="atLeast"/>
              <w:jc w:val="both"/>
              <w:rPr>
                <w:rFonts w:ascii="Arial" w:eastAsia="Times New Roman" w:hAnsi="Arial" w:cs="Arial"/>
                <w:b/>
                <w:bCs/>
                <w:snapToGrid w:val="0"/>
                <w:color w:val="auto"/>
                <w:sz w:val="20"/>
                <w:szCs w:val="20"/>
                <w:lang w:eastAsia="fr-FR"/>
              </w:rPr>
            </w:pPr>
            <w:r w:rsidRPr="00AF57E1">
              <w:rPr>
                <w:rFonts w:ascii="Arial" w:eastAsia="Times New Roman" w:hAnsi="Arial" w:cs="Arial"/>
                <w:b/>
                <w:bCs/>
                <w:snapToGrid w:val="0"/>
                <w:color w:val="auto"/>
                <w:sz w:val="20"/>
                <w:szCs w:val="20"/>
                <w:lang w:eastAsia="fr-FR"/>
              </w:rPr>
              <w:lastRenderedPageBreak/>
              <w:t>Express items</w:t>
            </w:r>
          </w:p>
        </w:tc>
      </w:tr>
    </w:tbl>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Items (documents and merchandise) forwarded and delivered in the most rapid way. For international flows, these are EMS items.</w:t>
      </w:r>
    </w:p>
    <w:p w:rsidR="00AF57E1" w:rsidRPr="00AF57E1" w:rsidRDefault="00AF57E1" w:rsidP="00AF57E1">
      <w:pPr>
        <w:spacing w:line="240" w:lineRule="atLeast"/>
        <w:jc w:val="both"/>
        <w:rPr>
          <w:rFonts w:ascii="Arial" w:eastAsia="Times New Roman" w:hAnsi="Arial" w:cs="Arial"/>
          <w:b/>
          <w:bCs/>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b/>
          <w:bCs/>
          <w:snapToGrid w:val="0"/>
          <w:color w:val="auto"/>
          <w:sz w:val="20"/>
          <w:szCs w:val="20"/>
          <w:lang w:eastAsia="fr-FR"/>
        </w:rPr>
        <w:t>Important:</w:t>
      </w:r>
      <w:r w:rsidRPr="00AF57E1">
        <w:rPr>
          <w:rFonts w:ascii="Arial" w:eastAsia="Times New Roman" w:hAnsi="Arial" w:cs="Arial"/>
          <w:snapToGrid w:val="0"/>
          <w:color w:val="auto"/>
          <w:sz w:val="20"/>
          <w:szCs w:val="20"/>
          <w:lang w:eastAsia="fr-FR"/>
        </w:rPr>
        <w:t xml:space="preserve"> Letter post and parcels for which the supplementary "Express" service is used (see Convention article 15, and article RL 140 of the Letter Post Regulations) should be excluded.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The distinction between merchandise and documents is explained in the section on letter post.</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For a more detailed definition of express items, please refer to the Letter Post Manual.</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tbl>
      <w:tblPr>
        <w:tblW w:w="0" w:type="auto"/>
        <w:shd w:val="clear" w:color="auto" w:fill="E0E0E0"/>
        <w:tblLook w:val="01E0" w:firstRow="1" w:lastRow="1" w:firstColumn="1" w:lastColumn="1" w:noHBand="0" w:noVBand="0"/>
      </w:tblPr>
      <w:tblGrid>
        <w:gridCol w:w="9759"/>
      </w:tblGrid>
      <w:tr w:rsidR="00AF57E1" w:rsidRPr="00AF57E1" w:rsidTr="00495B77">
        <w:tc>
          <w:tcPr>
            <w:tcW w:w="9759" w:type="dxa"/>
            <w:shd w:val="clear" w:color="auto" w:fill="E0E0E0"/>
          </w:tcPr>
          <w:p w:rsidR="00AF57E1" w:rsidRPr="00AF57E1" w:rsidRDefault="00AF57E1" w:rsidP="00AF57E1">
            <w:pPr>
              <w:spacing w:before="60" w:after="60" w:line="240" w:lineRule="atLeast"/>
              <w:jc w:val="both"/>
              <w:rPr>
                <w:rFonts w:ascii="Arial" w:eastAsia="Times New Roman" w:hAnsi="Arial" w:cs="Arial"/>
                <w:b/>
                <w:bCs/>
                <w:snapToGrid w:val="0"/>
                <w:color w:val="auto"/>
                <w:sz w:val="20"/>
                <w:szCs w:val="20"/>
                <w:lang w:eastAsia="fr-FR"/>
              </w:rPr>
            </w:pPr>
            <w:r w:rsidRPr="00AF57E1">
              <w:rPr>
                <w:rFonts w:ascii="Arial" w:eastAsia="Times New Roman" w:hAnsi="Arial" w:cs="Arial"/>
                <w:b/>
                <w:bCs/>
                <w:snapToGrid w:val="0"/>
                <w:color w:val="auto"/>
                <w:sz w:val="20"/>
                <w:szCs w:val="20"/>
                <w:lang w:eastAsia="fr-FR"/>
              </w:rPr>
              <w:t>Postal parcels</w:t>
            </w:r>
          </w:p>
        </w:tc>
      </w:tr>
    </w:tbl>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A distinction should be made between international and domestic service.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In international service,</w:t>
      </w:r>
      <w:r w:rsidRPr="00AF57E1">
        <w:rPr>
          <w:rFonts w:ascii="Arial" w:eastAsia="Times New Roman" w:hAnsi="Arial" w:cs="Arial"/>
          <w:i/>
          <w:iCs/>
          <w:snapToGrid w:val="0"/>
          <w:color w:val="auto"/>
          <w:sz w:val="20"/>
          <w:szCs w:val="20"/>
          <w:lang w:eastAsia="fr-FR"/>
        </w:rPr>
        <w:t xml:space="preserve"> postal parcels</w:t>
      </w:r>
      <w:r w:rsidRPr="00AF57E1">
        <w:rPr>
          <w:rFonts w:ascii="Arial" w:eastAsia="Times New Roman" w:hAnsi="Arial" w:cs="Arial"/>
          <w:snapToGrid w:val="0"/>
          <w:color w:val="auto"/>
          <w:sz w:val="20"/>
          <w:szCs w:val="20"/>
          <w:lang w:eastAsia="fr-FR"/>
        </w:rPr>
        <w:t xml:space="preserve"> are items conveyed under the conditions of the Convention and the Parcel Post Regulations.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For a more detailed definition of postal parcels, please refer to the Parcel Post Manual.</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As regards domestic parcels, the country-specific definition should be used.</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tbl>
      <w:tblPr>
        <w:tblW w:w="0" w:type="auto"/>
        <w:shd w:val="clear" w:color="auto" w:fill="E0E0E0"/>
        <w:tblLook w:val="01E0" w:firstRow="1" w:lastRow="1" w:firstColumn="1" w:lastColumn="1" w:noHBand="0" w:noVBand="0"/>
      </w:tblPr>
      <w:tblGrid>
        <w:gridCol w:w="9759"/>
      </w:tblGrid>
      <w:tr w:rsidR="00AF57E1" w:rsidRPr="00AF57E1" w:rsidTr="00495B77">
        <w:tc>
          <w:tcPr>
            <w:tcW w:w="9759" w:type="dxa"/>
            <w:shd w:val="clear" w:color="auto" w:fill="E0E0E0"/>
          </w:tcPr>
          <w:p w:rsidR="00AF57E1" w:rsidRPr="00AF57E1" w:rsidRDefault="00AF57E1" w:rsidP="00AF57E1">
            <w:pPr>
              <w:spacing w:before="60" w:after="60" w:line="240" w:lineRule="atLeast"/>
              <w:jc w:val="both"/>
              <w:rPr>
                <w:rFonts w:ascii="Arial" w:eastAsia="Times New Roman" w:hAnsi="Arial" w:cs="Arial"/>
                <w:b/>
                <w:bCs/>
                <w:snapToGrid w:val="0"/>
                <w:color w:val="0000FF"/>
                <w:sz w:val="20"/>
                <w:szCs w:val="20"/>
                <w:lang w:eastAsia="fr-FR"/>
              </w:rPr>
            </w:pPr>
            <w:r w:rsidRPr="00AF57E1">
              <w:rPr>
                <w:rFonts w:ascii="Arial" w:eastAsia="Times New Roman" w:hAnsi="Arial" w:cs="Arial"/>
                <w:b/>
                <w:bCs/>
                <w:snapToGrid w:val="0"/>
                <w:color w:val="auto"/>
                <w:sz w:val="20"/>
                <w:szCs w:val="20"/>
                <w:lang w:eastAsia="fr-FR"/>
              </w:rPr>
              <w:t>Other traffic information</w:t>
            </w:r>
          </w:p>
        </w:tc>
      </w:tr>
    </w:tbl>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i/>
          <w:iCs/>
          <w:snapToGrid w:val="0"/>
          <w:color w:val="auto"/>
          <w:sz w:val="20"/>
          <w:lang w:eastAsia="fr-FR"/>
        </w:rPr>
        <w:t xml:space="preserve">Total weight transported </w:t>
      </w:r>
      <w:r w:rsidRPr="00AF57E1">
        <w:rPr>
          <w:rFonts w:ascii="Arial" w:eastAsia="Times New Roman" w:hAnsi="Arial" w:cs="Arial"/>
          <w:snapToGrid w:val="0"/>
          <w:color w:val="auto"/>
          <w:sz w:val="20"/>
          <w:lang w:eastAsia="fr-FR"/>
        </w:rPr>
        <w:t>denotes the weight expressed in kilogrammes of all categories of items transported domestically or bound for international export. If the exact figure does not exist, the best possible estimate could be used (based, for example, on the measurement of average filling of trucks or on sampling studies of average item weight).</w:t>
      </w: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i/>
          <w:iCs/>
          <w:snapToGrid w:val="0"/>
          <w:color w:val="auto"/>
          <w:sz w:val="20"/>
          <w:szCs w:val="20"/>
          <w:lang w:eastAsia="fr-FR"/>
        </w:rPr>
        <w:t xml:space="preserve">Trackable items </w:t>
      </w:r>
      <w:r w:rsidRPr="00AF57E1">
        <w:rPr>
          <w:rFonts w:ascii="Arial" w:eastAsia="Times New Roman" w:hAnsi="Arial" w:cs="Arial"/>
          <w:snapToGrid w:val="0"/>
          <w:color w:val="auto"/>
          <w:sz w:val="20"/>
          <w:szCs w:val="20"/>
          <w:lang w:eastAsia="fr-FR"/>
        </w:rPr>
        <w:t xml:space="preserve">are postal items equipped with an identifier (e.g. a barcode) which enables their recognition by an electronic tracking system; however, they need not necessarily allow for customer claims. In other words, tracked items may comprise more than parcels, express items and registered letter post.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tbl>
      <w:tblPr>
        <w:tblW w:w="0" w:type="auto"/>
        <w:shd w:val="clear" w:color="auto" w:fill="E0E0E0"/>
        <w:tblLook w:val="01E0" w:firstRow="1" w:lastRow="1" w:firstColumn="1" w:lastColumn="1" w:noHBand="0" w:noVBand="0"/>
      </w:tblPr>
      <w:tblGrid>
        <w:gridCol w:w="9759"/>
      </w:tblGrid>
      <w:tr w:rsidR="00AF57E1" w:rsidRPr="00AF57E1" w:rsidTr="00495B77">
        <w:tc>
          <w:tcPr>
            <w:tcW w:w="9759" w:type="dxa"/>
            <w:shd w:val="clear" w:color="auto" w:fill="E0E0E0"/>
          </w:tcPr>
          <w:p w:rsidR="00AF57E1" w:rsidRPr="00AF57E1" w:rsidRDefault="00AF57E1" w:rsidP="00AF57E1">
            <w:pPr>
              <w:spacing w:before="60" w:after="60" w:line="240" w:lineRule="atLeast"/>
              <w:jc w:val="both"/>
              <w:rPr>
                <w:rFonts w:ascii="Arial" w:eastAsia="Times New Roman" w:hAnsi="Arial" w:cs="Arial"/>
                <w:b/>
                <w:bCs/>
                <w:snapToGrid w:val="0"/>
                <w:color w:val="auto"/>
                <w:sz w:val="20"/>
                <w:szCs w:val="20"/>
                <w:lang w:eastAsia="fr-FR"/>
              </w:rPr>
            </w:pPr>
            <w:r w:rsidRPr="00AF57E1">
              <w:rPr>
                <w:rFonts w:ascii="Arial" w:eastAsia="Times New Roman" w:hAnsi="Arial" w:cs="Arial"/>
                <w:b/>
                <w:bCs/>
                <w:snapToGrid w:val="0"/>
                <w:color w:val="auto"/>
                <w:sz w:val="20"/>
                <w:szCs w:val="20"/>
                <w:lang w:eastAsia="fr-FR"/>
              </w:rPr>
              <w:t>Financial services</w:t>
            </w:r>
          </w:p>
        </w:tc>
      </w:tr>
    </w:tbl>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napToGrid w:val="0"/>
        <w:spacing w:line="240" w:lineRule="atLeast"/>
        <w:jc w:val="both"/>
        <w:rPr>
          <w:rFonts w:ascii="Arial" w:eastAsia="SimSun" w:hAnsi="Arial" w:cs="Arial"/>
          <w:i/>
          <w:iCs/>
          <w:snapToGrid w:val="0"/>
          <w:color w:val="auto"/>
          <w:sz w:val="20"/>
          <w:szCs w:val="20"/>
          <w:lang w:eastAsia="zh-CN"/>
        </w:rPr>
      </w:pPr>
      <w:r w:rsidRPr="00AF57E1">
        <w:rPr>
          <w:rFonts w:ascii="Arial" w:eastAsia="SimSun" w:hAnsi="Arial" w:cs="Arial"/>
          <w:i/>
          <w:iCs/>
          <w:snapToGrid w:val="0"/>
          <w:color w:val="auto"/>
          <w:sz w:val="20"/>
          <w:szCs w:val="20"/>
          <w:lang w:eastAsia="zh-CN"/>
        </w:rPr>
        <w:t xml:space="preserve">Payments </w:t>
      </w:r>
    </w:p>
    <w:p w:rsidR="00AF57E1" w:rsidRPr="00AF57E1" w:rsidRDefault="00AF57E1" w:rsidP="00AF57E1">
      <w:pPr>
        <w:autoSpaceDE w:val="0"/>
        <w:autoSpaceDN w:val="0"/>
        <w:adjustRightInd w:val="0"/>
        <w:spacing w:after="200" w:line="276" w:lineRule="auto"/>
        <w:jc w:val="both"/>
        <w:rPr>
          <w:rFonts w:ascii="Arial" w:eastAsia="Calibri" w:hAnsi="Arial" w:cs="Arial"/>
          <w:color w:val="auto"/>
          <w:sz w:val="20"/>
          <w:szCs w:val="20"/>
          <w:lang w:val="en-US"/>
        </w:rPr>
      </w:pPr>
      <w:r w:rsidRPr="00AF57E1">
        <w:rPr>
          <w:rFonts w:ascii="Arial" w:eastAsia="Calibri" w:hAnsi="Arial" w:cs="Arial"/>
          <w:color w:val="auto"/>
          <w:sz w:val="20"/>
          <w:szCs w:val="20"/>
          <w:lang w:val="en-US"/>
        </w:rPr>
        <w:lastRenderedPageBreak/>
        <w:t>These are transfers of money from one party to another, in cash or electronically. Payments can be pro</w:t>
      </w:r>
      <w:r w:rsidRPr="00AF57E1">
        <w:rPr>
          <w:rFonts w:ascii="Arial" w:eastAsia="Calibri" w:hAnsi="Arial" w:cs="Arial"/>
          <w:color w:val="auto"/>
          <w:sz w:val="20"/>
          <w:szCs w:val="20"/>
          <w:lang w:val="en-US"/>
        </w:rPr>
        <w:softHyphen/>
        <w:t xml:space="preserve">cessed directly by the postal operator or in partnership with government agencies, money transfer operators, utility companies, insurance companies, microfinance institutions and banks, etc. </w:t>
      </w:r>
    </w:p>
    <w:p w:rsidR="00AF57E1" w:rsidRPr="00AF57E1" w:rsidRDefault="00AF57E1" w:rsidP="00AF57E1">
      <w:pPr>
        <w:spacing w:line="240" w:lineRule="atLeast"/>
        <w:jc w:val="both"/>
        <w:rPr>
          <w:rFonts w:ascii="Arial" w:eastAsia="SimSun" w:hAnsi="Arial" w:cs="Arial"/>
          <w:snapToGrid w:val="0"/>
          <w:color w:val="auto"/>
          <w:sz w:val="20"/>
          <w:szCs w:val="20"/>
          <w:lang w:eastAsia="zh-CN"/>
        </w:rPr>
      </w:pPr>
    </w:p>
    <w:p w:rsidR="00AF57E1" w:rsidRPr="00AF57E1" w:rsidRDefault="00AF57E1" w:rsidP="00AF57E1">
      <w:pPr>
        <w:snapToGrid w:val="0"/>
        <w:spacing w:line="240" w:lineRule="atLeast"/>
        <w:jc w:val="both"/>
        <w:rPr>
          <w:rFonts w:ascii="Arial" w:eastAsia="SimSun" w:hAnsi="Arial" w:cs="Arial"/>
          <w:i/>
          <w:iCs/>
          <w:snapToGrid w:val="0"/>
          <w:color w:val="auto"/>
          <w:sz w:val="20"/>
          <w:szCs w:val="20"/>
          <w:lang w:eastAsia="zh-CN"/>
        </w:rPr>
      </w:pPr>
      <w:r w:rsidRPr="00AF57E1">
        <w:rPr>
          <w:rFonts w:ascii="Arial" w:eastAsia="SimSun" w:hAnsi="Arial" w:cs="Arial"/>
          <w:i/>
          <w:iCs/>
          <w:snapToGrid w:val="0"/>
          <w:color w:val="auto"/>
          <w:sz w:val="20"/>
          <w:szCs w:val="20"/>
          <w:lang w:eastAsia="zh-CN"/>
        </w:rPr>
        <w:t>Government payments</w:t>
      </w:r>
    </w:p>
    <w:p w:rsidR="00AF57E1" w:rsidRPr="00AF57E1" w:rsidRDefault="00AF57E1" w:rsidP="00AF57E1">
      <w:pPr>
        <w:spacing w:line="240" w:lineRule="atLeast"/>
        <w:jc w:val="both"/>
        <w:rPr>
          <w:rFonts w:ascii="Arial" w:eastAsia="SimSun" w:hAnsi="Arial" w:cs="Arial"/>
          <w:snapToGrid w:val="0"/>
          <w:color w:val="auto"/>
          <w:sz w:val="20"/>
          <w:szCs w:val="20"/>
          <w:lang w:eastAsia="zh-CN"/>
        </w:rPr>
      </w:pPr>
      <w:r w:rsidRPr="00AF57E1">
        <w:rPr>
          <w:rFonts w:ascii="Arial" w:eastAsia="SimSun" w:hAnsi="Arial" w:cs="Arial"/>
          <w:snapToGrid w:val="0"/>
          <w:color w:val="auto"/>
          <w:sz w:val="20"/>
          <w:szCs w:val="20"/>
          <w:lang w:eastAsia="zh-CN"/>
        </w:rPr>
        <w:t>These are payments processed by a postal operator on behalf of a government agency. They can be initi</w:t>
      </w:r>
      <w:r w:rsidRPr="00AF57E1">
        <w:rPr>
          <w:rFonts w:ascii="Arial" w:eastAsia="SimSun" w:hAnsi="Arial" w:cs="Arial"/>
          <w:snapToGrid w:val="0"/>
          <w:color w:val="auto"/>
          <w:sz w:val="20"/>
          <w:szCs w:val="20"/>
          <w:lang w:eastAsia="zh-CN"/>
        </w:rPr>
        <w:softHyphen/>
        <w:t>ated either by an individual (person-to-government payment) or by a government agency (government-to-person payment). They include pensions, social transfers, tax payments and government services' pay</w:t>
      </w:r>
      <w:r w:rsidRPr="00AF57E1">
        <w:rPr>
          <w:rFonts w:ascii="Arial" w:eastAsia="SimSun" w:hAnsi="Arial" w:cs="Arial"/>
          <w:snapToGrid w:val="0"/>
          <w:color w:val="auto"/>
          <w:sz w:val="20"/>
          <w:szCs w:val="20"/>
          <w:lang w:eastAsia="zh-CN"/>
        </w:rPr>
        <w:softHyphen/>
        <w:t>ments, but exclude payments to utility companies.</w:t>
      </w:r>
    </w:p>
    <w:p w:rsidR="00AF57E1" w:rsidRPr="00AF57E1" w:rsidRDefault="00AF57E1" w:rsidP="00AF57E1">
      <w:pPr>
        <w:spacing w:line="240" w:lineRule="atLeast"/>
        <w:jc w:val="both"/>
        <w:rPr>
          <w:rFonts w:ascii="Arial" w:eastAsia="SimSun" w:hAnsi="Arial" w:cs="Arial"/>
          <w:snapToGrid w:val="0"/>
          <w:color w:val="auto"/>
          <w:sz w:val="20"/>
          <w:szCs w:val="20"/>
          <w:lang w:eastAsia="zh-CN"/>
        </w:rPr>
      </w:pPr>
    </w:p>
    <w:p w:rsidR="00AF57E1" w:rsidRPr="00AF57E1" w:rsidRDefault="00AF57E1" w:rsidP="00AF57E1">
      <w:pPr>
        <w:snapToGrid w:val="0"/>
        <w:spacing w:line="240" w:lineRule="atLeast"/>
        <w:jc w:val="both"/>
        <w:rPr>
          <w:rFonts w:ascii="Arial" w:eastAsia="SimSun" w:hAnsi="Arial" w:cs="Arial"/>
          <w:i/>
          <w:iCs/>
          <w:snapToGrid w:val="0"/>
          <w:color w:val="auto"/>
          <w:sz w:val="20"/>
          <w:szCs w:val="20"/>
          <w:lang w:eastAsia="zh-CN"/>
        </w:rPr>
      </w:pPr>
      <w:r w:rsidRPr="00AF57E1">
        <w:rPr>
          <w:rFonts w:ascii="Arial" w:eastAsia="SimSun" w:hAnsi="Arial" w:cs="Arial"/>
          <w:i/>
          <w:iCs/>
          <w:snapToGrid w:val="0"/>
          <w:color w:val="auto"/>
          <w:sz w:val="20"/>
          <w:szCs w:val="20"/>
          <w:lang w:eastAsia="zh-CN"/>
        </w:rPr>
        <w:t>Bills</w:t>
      </w:r>
    </w:p>
    <w:p w:rsidR="00AF57E1" w:rsidRPr="00AF57E1" w:rsidRDefault="00AF57E1" w:rsidP="00AF57E1">
      <w:pPr>
        <w:spacing w:line="240" w:lineRule="atLeast"/>
        <w:jc w:val="both"/>
        <w:rPr>
          <w:rFonts w:ascii="Arial" w:eastAsia="SimSun" w:hAnsi="Arial" w:cs="Arial"/>
          <w:snapToGrid w:val="0"/>
          <w:color w:val="auto"/>
          <w:sz w:val="20"/>
          <w:szCs w:val="20"/>
          <w:lang w:eastAsia="zh-CN"/>
        </w:rPr>
      </w:pPr>
      <w:r w:rsidRPr="00AF57E1">
        <w:rPr>
          <w:rFonts w:ascii="Arial" w:eastAsia="SimSun" w:hAnsi="Arial" w:cs="Arial"/>
          <w:snapToGrid w:val="0"/>
          <w:color w:val="auto"/>
          <w:sz w:val="20"/>
          <w:szCs w:val="20"/>
          <w:lang w:eastAsia="zh-CN"/>
        </w:rPr>
        <w:t xml:space="preserve">These are payments processed by the postal operator on behalf of an individual to pay for the services of a third-party company, generally utility companies (water, electricity, telephone, TV). </w:t>
      </w:r>
    </w:p>
    <w:p w:rsidR="00AF57E1" w:rsidRPr="00AF57E1" w:rsidRDefault="00AF57E1" w:rsidP="00AF57E1">
      <w:pPr>
        <w:spacing w:line="240" w:lineRule="atLeast"/>
        <w:jc w:val="both"/>
        <w:rPr>
          <w:rFonts w:ascii="Arial" w:eastAsia="SimSun" w:hAnsi="Arial" w:cs="Arial"/>
          <w:snapToGrid w:val="0"/>
          <w:color w:val="auto"/>
          <w:sz w:val="20"/>
          <w:szCs w:val="20"/>
          <w:lang w:eastAsia="zh-CN"/>
        </w:rPr>
      </w:pPr>
    </w:p>
    <w:p w:rsidR="00AF57E1" w:rsidRPr="00AF57E1" w:rsidRDefault="00AF57E1" w:rsidP="00AF57E1">
      <w:pPr>
        <w:snapToGrid w:val="0"/>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 xml:space="preserve">Money orders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Money orders are cash or electronic transfers from person to person where the postal operator is used either at the point of issue, payment or both. They include paper-based money orders as well as electronic ones.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napToGrid w:val="0"/>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International service</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International service includes all cross-border payments processed by a postal operator. They include international remittances offered in partnership with a money transfer operator, a bank, a mobile money operator or any other provider, as well as international remittances offered directly by the postal operator.</w:t>
      </w:r>
    </w:p>
    <w:p w:rsidR="00AF57E1" w:rsidRPr="00AF57E1" w:rsidRDefault="00AF57E1" w:rsidP="00AF57E1">
      <w:pPr>
        <w:spacing w:line="240" w:lineRule="atLeast"/>
        <w:jc w:val="both"/>
        <w:rPr>
          <w:rFonts w:ascii="Arial" w:eastAsia="SimSun" w:hAnsi="Arial" w:cs="Arial"/>
          <w:snapToGrid w:val="0"/>
          <w:color w:val="auto"/>
          <w:sz w:val="20"/>
          <w:szCs w:val="20"/>
          <w:lang w:eastAsia="zh-CN"/>
        </w:rPr>
      </w:pPr>
    </w:p>
    <w:p w:rsidR="00AF57E1" w:rsidRPr="00AF57E1" w:rsidRDefault="00AF57E1" w:rsidP="00AF57E1">
      <w:pPr>
        <w:snapToGrid w:val="0"/>
        <w:spacing w:line="240" w:lineRule="atLeast"/>
        <w:jc w:val="both"/>
        <w:rPr>
          <w:rFonts w:ascii="Arial" w:eastAsia="SimSun" w:hAnsi="Arial" w:cs="Arial"/>
          <w:i/>
          <w:iCs/>
          <w:snapToGrid w:val="0"/>
          <w:color w:val="auto"/>
          <w:sz w:val="20"/>
          <w:szCs w:val="20"/>
          <w:lang w:eastAsia="zh-CN"/>
        </w:rPr>
      </w:pPr>
      <w:r w:rsidRPr="00AF57E1">
        <w:rPr>
          <w:rFonts w:ascii="Arial" w:eastAsia="SimSun" w:hAnsi="Arial" w:cs="Arial"/>
          <w:i/>
          <w:iCs/>
          <w:snapToGrid w:val="0"/>
          <w:color w:val="auto"/>
          <w:sz w:val="20"/>
          <w:szCs w:val="20"/>
          <w:lang w:eastAsia="zh-CN"/>
        </w:rPr>
        <w:t>Giro/checking/current accounts</w:t>
      </w:r>
    </w:p>
    <w:p w:rsidR="00AF57E1" w:rsidRPr="00AF57E1" w:rsidRDefault="00AF57E1" w:rsidP="00AF57E1">
      <w:pPr>
        <w:snapToGrid w:val="0"/>
        <w:spacing w:line="240" w:lineRule="atLeast"/>
        <w:jc w:val="both"/>
        <w:rPr>
          <w:rFonts w:ascii="Arial" w:eastAsia="SimSun" w:hAnsi="Arial" w:cs="Arial"/>
          <w:i/>
          <w:iCs/>
          <w:snapToGrid w:val="0"/>
          <w:color w:val="auto"/>
          <w:sz w:val="20"/>
          <w:szCs w:val="20"/>
          <w:lang w:eastAsia="zh-CN"/>
        </w:rPr>
      </w:pPr>
      <w:r w:rsidRPr="00AF57E1">
        <w:rPr>
          <w:rFonts w:ascii="Arial" w:eastAsia="SimSun" w:hAnsi="Arial" w:cs="Arial"/>
          <w:snapToGrid w:val="0"/>
          <w:color w:val="auto"/>
          <w:sz w:val="20"/>
          <w:szCs w:val="20"/>
          <w:lang w:eastAsia="zh-CN"/>
        </w:rPr>
        <w:t xml:space="preserve">These are accounts used to process payments from which money may be withdrawn without notice, typically catering for frequent deposits and withdrawals by cheque, debit card or any other payment instruments. </w:t>
      </w:r>
    </w:p>
    <w:p w:rsidR="00AF57E1" w:rsidRPr="00AF57E1" w:rsidRDefault="00AF57E1" w:rsidP="00AF57E1">
      <w:pPr>
        <w:snapToGrid w:val="0"/>
        <w:spacing w:line="240" w:lineRule="atLeast"/>
        <w:jc w:val="both"/>
        <w:rPr>
          <w:rFonts w:ascii="Arial" w:eastAsia="SimSun" w:hAnsi="Arial" w:cs="Arial"/>
          <w:snapToGrid w:val="0"/>
          <w:color w:val="auto"/>
          <w:sz w:val="20"/>
          <w:szCs w:val="20"/>
          <w:lang w:eastAsia="zh-CN"/>
        </w:rPr>
      </w:pPr>
    </w:p>
    <w:p w:rsidR="00AF57E1" w:rsidRPr="00AF57E1" w:rsidRDefault="00AF57E1" w:rsidP="00AF57E1">
      <w:pPr>
        <w:snapToGrid w:val="0"/>
        <w:spacing w:line="240" w:lineRule="atLeast"/>
        <w:jc w:val="both"/>
        <w:rPr>
          <w:rFonts w:ascii="Arial" w:eastAsia="SimSun" w:hAnsi="Arial" w:cs="Arial"/>
          <w:i/>
          <w:iCs/>
          <w:snapToGrid w:val="0"/>
          <w:color w:val="auto"/>
          <w:sz w:val="20"/>
          <w:szCs w:val="20"/>
          <w:lang w:eastAsia="zh-CN"/>
        </w:rPr>
      </w:pPr>
      <w:r w:rsidRPr="00AF57E1">
        <w:rPr>
          <w:rFonts w:ascii="Arial" w:eastAsia="SimSun" w:hAnsi="Arial" w:cs="Arial"/>
          <w:i/>
          <w:iCs/>
          <w:snapToGrid w:val="0"/>
          <w:color w:val="auto"/>
          <w:sz w:val="20"/>
          <w:szCs w:val="20"/>
          <w:lang w:eastAsia="zh-CN"/>
        </w:rPr>
        <w:t>Dormant accounts</w:t>
      </w:r>
    </w:p>
    <w:p w:rsidR="00AF57E1" w:rsidRPr="00AF57E1" w:rsidRDefault="00AF57E1" w:rsidP="00AF57E1">
      <w:pPr>
        <w:spacing w:line="240" w:lineRule="atLeast"/>
        <w:jc w:val="both"/>
        <w:rPr>
          <w:rFonts w:ascii="Arial" w:eastAsia="SimSun" w:hAnsi="Arial" w:cs="Arial"/>
          <w:snapToGrid w:val="0"/>
          <w:color w:val="auto"/>
          <w:sz w:val="20"/>
          <w:szCs w:val="20"/>
          <w:lang w:eastAsia="zh-CN"/>
        </w:rPr>
      </w:pPr>
      <w:proofErr w:type="gramStart"/>
      <w:r w:rsidRPr="00AF57E1">
        <w:rPr>
          <w:rFonts w:ascii="Arial" w:eastAsia="SimSun" w:hAnsi="Arial" w:cs="Arial"/>
          <w:snapToGrid w:val="0"/>
          <w:color w:val="auto"/>
          <w:sz w:val="20"/>
          <w:szCs w:val="20"/>
          <w:lang w:eastAsia="zh-CN"/>
        </w:rPr>
        <w:t>Giro, checking or current accounts that have seen no activity, other than for posting of interest, in the last 12 months.</w:t>
      </w:r>
      <w:proofErr w:type="gramEnd"/>
    </w:p>
    <w:p w:rsidR="00AF57E1" w:rsidRPr="00AF57E1" w:rsidRDefault="00AF57E1" w:rsidP="00AF57E1">
      <w:pPr>
        <w:jc w:val="both"/>
        <w:rPr>
          <w:rFonts w:ascii="Arial" w:eastAsia="SimSun" w:hAnsi="Arial" w:cs="Arial"/>
          <w:snapToGrid w:val="0"/>
          <w:color w:val="auto"/>
          <w:sz w:val="20"/>
          <w:szCs w:val="20"/>
          <w:lang w:eastAsia="zh-CN"/>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Savings bank or postal bank</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The figures for the postal savings bank or postal bank relate to the number of accounts open at the end of the period and the total assets held in these accounts, representing the credit balance.</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tbl>
      <w:tblPr>
        <w:tblW w:w="0" w:type="auto"/>
        <w:shd w:val="clear" w:color="auto" w:fill="E0E0E0"/>
        <w:tblLook w:val="01E0" w:firstRow="1" w:lastRow="1" w:firstColumn="1" w:lastColumn="1" w:noHBand="0" w:noVBand="0"/>
      </w:tblPr>
      <w:tblGrid>
        <w:gridCol w:w="9759"/>
      </w:tblGrid>
      <w:tr w:rsidR="00AF57E1" w:rsidRPr="00AF57E1" w:rsidTr="00495B77">
        <w:tc>
          <w:tcPr>
            <w:tcW w:w="9759" w:type="dxa"/>
            <w:shd w:val="clear" w:color="auto" w:fill="E0E0E0"/>
          </w:tcPr>
          <w:p w:rsidR="00AF57E1" w:rsidRPr="00AF57E1" w:rsidRDefault="00AF57E1" w:rsidP="00AF57E1">
            <w:pPr>
              <w:spacing w:before="60" w:after="60" w:line="240" w:lineRule="atLeast"/>
              <w:jc w:val="both"/>
              <w:rPr>
                <w:rFonts w:ascii="Arial" w:eastAsia="Times New Roman" w:hAnsi="Arial" w:cs="Arial"/>
                <w:b/>
                <w:bCs/>
                <w:snapToGrid w:val="0"/>
                <w:color w:val="auto"/>
                <w:sz w:val="20"/>
                <w:szCs w:val="20"/>
                <w:lang w:eastAsia="fr-FR"/>
              </w:rPr>
            </w:pPr>
            <w:r w:rsidRPr="00AF57E1">
              <w:rPr>
                <w:rFonts w:ascii="Arial" w:eastAsia="Times New Roman" w:hAnsi="Arial" w:cs="Arial"/>
                <w:b/>
                <w:bCs/>
                <w:snapToGrid w:val="0"/>
                <w:color w:val="auto"/>
                <w:sz w:val="20"/>
                <w:szCs w:val="20"/>
                <w:lang w:eastAsia="fr-FR"/>
              </w:rPr>
              <w:t>Connectivity</w:t>
            </w:r>
          </w:p>
        </w:tc>
      </w:tr>
    </w:tbl>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Permanent post offices using counter automation systems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A computer system and related electronic network installed within postal outlets to automate over-the-counter customer-related activities including retail services, postal financial services, government agency-related transactions and other business transactions at postal counters. </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Permanent post offices connected to an electronic network</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An electronic network is a communications infrastructure installed between retail outlets, district, regional, and headquarters </w:t>
      </w:r>
      <w:proofErr w:type="gramStart"/>
      <w:r w:rsidRPr="00AF57E1">
        <w:rPr>
          <w:rFonts w:ascii="Arial" w:eastAsia="Times New Roman" w:hAnsi="Arial" w:cs="Arial"/>
          <w:snapToGrid w:val="0"/>
          <w:color w:val="auto"/>
          <w:sz w:val="20"/>
          <w:szCs w:val="20"/>
          <w:lang w:eastAsia="fr-FR"/>
        </w:rPr>
        <w:t>locations that allows</w:t>
      </w:r>
      <w:proofErr w:type="gramEnd"/>
      <w:r w:rsidRPr="00AF57E1">
        <w:rPr>
          <w:rFonts w:ascii="Arial" w:eastAsia="Times New Roman" w:hAnsi="Arial" w:cs="Arial"/>
          <w:snapToGrid w:val="0"/>
          <w:color w:val="auto"/>
          <w:sz w:val="20"/>
          <w:szCs w:val="20"/>
          <w:lang w:eastAsia="fr-FR"/>
        </w:rPr>
        <w:t xml:space="preserve"> the offices to share information and data. In many cases it is used to link counter automation systems together. The network should be using permanent or semi-permanent con</w:t>
      </w:r>
      <w:r w:rsidRPr="00AF57E1">
        <w:rPr>
          <w:rFonts w:ascii="Arial" w:eastAsia="Times New Roman" w:hAnsi="Arial" w:cs="Arial"/>
          <w:snapToGrid w:val="0"/>
          <w:color w:val="auto"/>
          <w:sz w:val="20"/>
          <w:szCs w:val="20"/>
          <w:lang w:eastAsia="fr-FR"/>
        </w:rPr>
        <w:softHyphen/>
        <w:t>nections, and in the most advanced form will also provide direct Internet access for post offices.</w:t>
      </w: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Number of post offices with broadband Internet access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 xml:space="preserve">This refers to the number of post offices (whether or not managed by the designated operator) that have a broadband internet access. Broadband Internet access is defined as a fixed or wireless to the public Internet at downstream speeds equal </w:t>
      </w:r>
      <w:proofErr w:type="gramStart"/>
      <w:r w:rsidRPr="00AF57E1">
        <w:rPr>
          <w:rFonts w:ascii="Arial" w:eastAsia="Times New Roman" w:hAnsi="Arial" w:cs="Arial"/>
          <w:snapToGrid w:val="0"/>
          <w:color w:val="auto"/>
          <w:sz w:val="20"/>
          <w:szCs w:val="20"/>
          <w:lang w:eastAsia="fr-FR"/>
        </w:rPr>
        <w:t>to,</w:t>
      </w:r>
      <w:proofErr w:type="gramEnd"/>
      <w:r w:rsidRPr="00AF57E1">
        <w:rPr>
          <w:rFonts w:ascii="Arial" w:eastAsia="Times New Roman" w:hAnsi="Arial" w:cs="Arial"/>
          <w:snapToGrid w:val="0"/>
          <w:color w:val="auto"/>
          <w:sz w:val="20"/>
          <w:szCs w:val="20"/>
          <w:lang w:eastAsia="fr-FR"/>
        </w:rPr>
        <w:t xml:space="preserve"> or greater than, 256 kbit/s. The broadband Internet connection can be used for operational purposes, e.g. to make electronic money transfers (through the Internet), or offered to the public through Internet access points. </w:t>
      </w: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Public Internet access points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means facilities offered by the designated operator which enable the public to access the Internet, either continuously or at particular times. These points must be equipped with at least one public Internet terminal.</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line="240" w:lineRule="atLeast"/>
        <w:jc w:val="both"/>
        <w:rPr>
          <w:rFonts w:ascii="Arial" w:eastAsia="Times New Roman" w:hAnsi="Arial" w:cs="Arial"/>
          <w:i/>
          <w:iCs/>
          <w:snapToGrid w:val="0"/>
          <w:color w:val="auto"/>
          <w:sz w:val="20"/>
          <w:szCs w:val="20"/>
          <w:lang w:eastAsia="fr-FR"/>
        </w:rPr>
      </w:pPr>
      <w:r w:rsidRPr="00AF57E1">
        <w:rPr>
          <w:rFonts w:ascii="Arial" w:eastAsia="Times New Roman" w:hAnsi="Arial" w:cs="Arial"/>
          <w:i/>
          <w:iCs/>
          <w:snapToGrid w:val="0"/>
          <w:color w:val="auto"/>
          <w:sz w:val="20"/>
          <w:szCs w:val="20"/>
          <w:lang w:eastAsia="fr-FR"/>
        </w:rPr>
        <w:t>Number of post offices providing Internet access points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r w:rsidRPr="00AF57E1">
        <w:rPr>
          <w:rFonts w:ascii="Arial" w:eastAsia="Times New Roman" w:hAnsi="Arial" w:cs="Arial"/>
          <w:snapToGrid w:val="0"/>
          <w:color w:val="auto"/>
          <w:sz w:val="20"/>
          <w:szCs w:val="20"/>
          <w:lang w:eastAsia="fr-FR"/>
        </w:rPr>
        <w:t>This refers to the number of post offices (whether or not managed by the designated operator) providing public Internet access points.</w:t>
      </w:r>
    </w:p>
    <w:p w:rsidR="00AF57E1" w:rsidRPr="00AF57E1" w:rsidRDefault="00AF57E1" w:rsidP="00AF57E1">
      <w:pPr>
        <w:spacing w:line="240" w:lineRule="atLeast"/>
        <w:jc w:val="both"/>
        <w:rPr>
          <w:rFonts w:ascii="Arial" w:eastAsia="Times New Roman" w:hAnsi="Arial" w:cs="Arial"/>
          <w:snapToGrid w:val="0"/>
          <w:color w:val="auto"/>
          <w:sz w:val="20"/>
          <w:szCs w:val="20"/>
          <w:lang w:eastAsia="fr-FR"/>
        </w:rPr>
      </w:pPr>
    </w:p>
    <w:p w:rsidR="00AF57E1" w:rsidRPr="00AF57E1" w:rsidRDefault="00AF57E1" w:rsidP="00AF57E1">
      <w:pPr>
        <w:spacing w:after="200" w:line="276" w:lineRule="auto"/>
        <w:rPr>
          <w:rFonts w:ascii="Calibri" w:eastAsia="Calibri" w:hAnsi="Calibri" w:cs="Arial"/>
          <w:color w:val="auto"/>
          <w:sz w:val="22"/>
          <w:szCs w:val="22"/>
        </w:rPr>
      </w:pPr>
    </w:p>
    <w:p w:rsidR="0035634B" w:rsidRDefault="0035634B">
      <w:bookmarkStart w:id="0" w:name="_GoBack"/>
      <w:bookmarkEnd w:id="0"/>
    </w:p>
    <w:sectPr w:rsidR="0035634B" w:rsidSect="006F4A6B">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7E1"/>
    <w:rsid w:val="0035634B"/>
    <w:rsid w:val="00374D74"/>
    <w:rsid w:val="00AF57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3173</Words>
  <Characters>18087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21218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2015-05-19T19:48:00Z</dcterms:created>
  <dcterms:modified xsi:type="dcterms:W3CDTF">2015-05-19T19:48:00Z</dcterms:modified>
</cp:coreProperties>
</file>